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Budsjettforslag - Posisjonen 2025-2028</w:t>
      </w:r>
    </w:p>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Agder fylkeskommune</w:t>
      </w:r>
    </w:p>
    <w:p w:rsidR="00A77B3E">
      <w:pPr>
        <w:pStyle w:val="Heading2"/>
        <w:spacing w:before="0" w:after="0"/>
        <w:jc w:val="left"/>
        <w:rPr>
          <w:rFonts w:ascii="Calibri" w:eastAsia="Calibri" w:hAnsi="Calibri" w:cs="Calibri"/>
          <w:b/>
          <w:i w:val="0"/>
          <w:color w:val="0070C0"/>
          <w:spacing w:val="0"/>
          <w:sz w:val="26"/>
          <w:u w:val="none"/>
        </w:rPr>
      </w:pPr>
      <w:r>
        <w:pict>
          <v:line id="_x0000_s1025" style="position:absolute;z-index:251658240" from="0,0" to="664.45pt,0"/>
        </w:pict>
      </w:r>
      <w:r>
        <w:rPr>
          <w:rFonts w:ascii="Calibri" w:eastAsia="Calibri" w:hAnsi="Calibri" w:cs="Calibri"/>
          <w:b w:val="0"/>
          <w:i w:val="0"/>
          <w:color w:val="000000"/>
          <w:spacing w:val="0"/>
          <w:sz w:val="22"/>
          <w:u w:val="none"/>
        </w:rPr>
        <w:br w:type="page"/>
      </w:r>
      <w:r>
        <w:rPr>
          <w:rFonts w:ascii="Calibri" w:eastAsia="Calibri" w:hAnsi="Calibri" w:cs="Calibri"/>
          <w:b/>
          <w:i w:val="0"/>
          <w:color w:val="0070C0"/>
          <w:spacing w:val="0"/>
          <w:sz w:val="26"/>
          <w:u w:val="none"/>
        </w:rPr>
        <w:t>Introduksjon</w:t>
      </w:r>
    </w:p>
    <w:p w:rsidR="00A77B3E">
      <w:pPr>
        <w:spacing w:before="0" w:after="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Posisjonspartiene Høyre, Fremskrittspartiet, Senterpartiet, Venstre og Pensjonistpartiet legger i dag frem et budsjett for Agder som prioriterer innbyggerne i Agder, et stort løft for samferdsel og en skole som ser hver enkelt elev.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Våre prioriteter for de neste årene:</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Et Agder for alle</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settes av 8 millioner til frivilligheten i Agder, midler som vil gi store ringvirkninger og treffe små og store lag og foreninger som sliter i en tøff tid.</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bevillinger støtte til lavterskel rusoppfølging, Barnas Stasjon, Amatea, Tingvatn, Lista fuglestasjon, bekjemping av ungdomskriminalitet, Kunstparken i Risør og sosialt entreprenørskap..</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Sammen med kommunene, næringslivet og organisasjonene på Agder gjør vi et krafttak for å få flere unge ut i sommerjobb. Vi gir 25.000 i tilskudd til de som tar inn en ungdom i sommerjobb, og setter av midler for å hjelpe 200 ungdom ut i jobb.</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ønsker å få flere gjennom videregående skole, derfor styrker vi skolehelsetjenesten med 2,5 millioner til skolepsykologer og innføring av en mentorordning for nyutdannede lærere og egne lærerspesialister.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Et stort løft for samferdsel</w:t>
      </w:r>
    </w:p>
    <w:p w:rsidR="00A77B3E">
      <w:pPr>
        <w:numPr>
          <w:ilvl w:val="0"/>
          <w:numId w:val="2"/>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setter av 40 millioner ekstra årlig de neste fire årene til fylkesveier. Dette innebærer en satsning på skoleveier, reasfaltering og vedlikehold av veinettet vårt. </w:t>
      </w:r>
    </w:p>
    <w:p w:rsidR="00A77B3E">
      <w:pPr>
        <w:numPr>
          <w:ilvl w:val="0"/>
          <w:numId w:val="2"/>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innfører reklame på busser og busstopp og bruker inntektene på flere busstilbud, hvor vi prioriterer distriktsruter først. </w:t>
      </w:r>
    </w:p>
    <w:p w:rsidR="00A77B3E">
      <w:pPr>
        <w:numPr>
          <w:ilvl w:val="0"/>
          <w:numId w:val="2"/>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innfører et rutetilbudsfond ved Kjevik, som jobber for flere ruter og en styring av flyplassen, og øker driftstøtten til Gullknapp med 5 millioner og går i dialog med staten om videre drift for å sikre flystudentene i Arendal.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Tiltak i driftsbudsjettet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2025</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Reduksjon i antall direktørområder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Fylkeskommunedirektør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Økt 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-40 288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-40 288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Felles inntekter og 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-40 288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-40 288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2026-2028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Analyse og plan</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-1 350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-1 100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-1 650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-1 300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-1 950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-1 300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-1 950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2026-2028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-3 750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Driftstøtte til Amatea</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 xml:space="preserve">Sommerjobbprosjekt for ungdom i utenforskap. </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Støtte til Barnas stasjon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Støtte til lavterskel rus</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Folkehelse</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8 200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4 800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-3 700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3 150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-3 700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3 150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-8 250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 xml:space="preserve">Reduksjon fylkesting </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2026-2028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-4 200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Innovasjon og organisasjonsutvikling</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-6 200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-3 750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-9 950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-7 600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-4 450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-12 050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-5 150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-14 150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-5 150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-14 150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-3 900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-1 950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-5 850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-3 900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-1 950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-5 850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-3 900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-1 950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-5 850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-3 900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-1 950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-5 850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Frivillighet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2026-2028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-5 250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Agder Kunstsenter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Bygningsvern ved AMA og VAMU</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Dreneringstiltak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Folkevandringsprosjektet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Risør Kunstpark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Ruteutviklingsfond - Kjevik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Samarbeidsprosjekt med Flekkefjord kommune - ungdomstilbud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Skogbruksmuseet Vegårshei</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Sosialt entreprenørskap</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Næring, kultur og kulturminnevern</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-6 900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10 300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-8 500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13 200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4 700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Lista fuglestasjon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2026-2028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Kutt i klimatiltak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Regionplan 2030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-2 300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-4 450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-6 750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-2 700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-6 150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-8 850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-3 100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-6 350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-9 450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-3 100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-9 200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-3 600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2026-2028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Økonomi og styring</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-4 200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-3 200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-4 800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-3 200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-4 800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-5 500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-8 250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2026-2028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-32 100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Driftstøtte Gullknapp</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Nye 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Opprusting og fornying av fylkesvegnettet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Utskiftningstiltak på eiendommer etter vedlikeholdsplan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 og eiendom</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44 250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38 750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-15 900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39 050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23 150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-26 900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6 650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-26 900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6 650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-11 400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2026-2028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-31 800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-31 800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-47 700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Desentralisert 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Endringer tilbudsstruktur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Oppfølging av ungdomskriminalitet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Skolepsykologer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til en trygg gjennomføring av russetiden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Ungdomskriminalitet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Utdanning</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-7 600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7 300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-25 900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Sentrale poster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197 164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197 164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178 271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178 704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169 222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1 444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170 666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1 980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173 803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223 502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223 907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235 971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237 191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249 896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251 331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316 000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-20 612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295 388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242 000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-40 938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201 062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-22 914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182 086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-23 914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181 086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Sentrale poster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734 137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713 525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643 773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603 673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610 193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589 943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626 719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606 220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Totalsum endringer i driftsbudsjettet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701 137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701 137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579 773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579 773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513 193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513 193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529 719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529 720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Reduksjon i antall direktørområder</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Fylkestinget ber fylkeskomunnedirektøren gå igjennom antall direktørområder og se til sammenlignbare regioners struktur.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2025</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2026-2028</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Omstilling 2026-2028: Hvert av områdene har fått en lik andelsmessig reduksjon i hele driftsbudsjett utover i planperioden. De budsjettmessig konsekvensene konkretiseres videre i omstillingsprosjektet.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2025</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2026-2028</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Omstilling 2026-2028: Hvert av områdene har fått en lik andelsmessig reduksjon i hele driftsbudsjett utover i planperioden. De budsjettmessig konsekvensene konkretiseres videre i omstillingsprosjektet.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Driftstøtte til Amatea</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Det gis et ekstraordinært støtte til Amatea i Kristiansand. Støtten er forbeholdt at de ikke får statlig støtte.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Sommerjobbprosjekt for ungdom i utenforskap. </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Prosjektene støttes med 25.000 kr pr ungdom. Maksimalt 20 ungdommer pr. kommune. Kommuner, bedrifter og ideelle organisasjoner kan søke. Søknadene skal være ferdigbehandlet innen 1.4</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Støtte til Barnas stasjon</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Det gis støtte til Barnas Stasjon i regi av Blå Kors. Støtten gis for å utvikle tilbudet i Agder og utvide til flere lokasjoner i Agder.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Støtte til lavterskel rus</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Det opprettes et Inkluderingsfond som skoler, barnehager, organisasjoner, lag og foreninger kan søke på. Hovedutvalg for utdanning og folkehelse utarbeider endelig mandat og fordeling av midlene.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2025</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Reduksjon fylkesting </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Reduserte kostnader som følge av bruk av egne møtefasiliteter.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2026-2028</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Omstilling 2026-2028: Hvert av områdene har fått en lik andelsmessig reduksjon i hele driftsbudsjett utover i planperioden. De budsjettmessig konsekvensene konkretiseres videre i omstillingsprosjektet.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2025</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Frivillighet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 å kunne saldere budsjettet, foreslås</w:t>
      </w:r>
      <w:r>
        <w:rPr>
          <w:rFonts w:ascii="Calibri" w:eastAsia="Calibri" w:hAnsi="Calibri" w:cs="Calibri"/>
          <w:b w:val="0"/>
          <w:i w:val="0"/>
          <w:color w:val="000000"/>
          <w:spacing w:val="0"/>
          <w:sz w:val="22"/>
          <w:u w:val="none"/>
        </w:rPr>
        <w:t xml:space="preserve"> det en reduksjon av tilskudd til frivillighet som ble innført i inneværende år. Erfaringen så langt har vist at det er for få søknader som kan defineres som «regionale» - de treffer i større grad den enkelte kommune. </w:t>
      </w:r>
      <w:r>
        <w:rPr>
          <w:rFonts w:ascii="Calibri" w:eastAsia="Calibri" w:hAnsi="Calibri" w:cs="Calibri"/>
          <w:b w:val="0"/>
          <w:i w:val="0"/>
          <w:color w:val="000000"/>
          <w:spacing w:val="0"/>
          <w:sz w:val="22"/>
          <w:u w:val="none"/>
        </w:rPr>
        <w:t>Den søkbare rammen til frivillighet er redusert fra 6 mill. kroner til 3 mill. kroner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2026-2028</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Omstilling 2026-2028: Hvert av områdene har fått en lik andelsmessig reduksjon i hele driftsbudsjett utover i planperioden. De budsjettmessig konsekvensene konkretiseres videre i omstillingsprosjektet.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Agder Kunstsenter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Innvilge driftstøtte som omsøkt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Dreneringstiltak</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Fordelast mellom kommunane etter pr dekar fulldyrka jord. Pengane øyremerkast til dreneringstiltak. Kommunane fordel midlene etter behov.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Folkevandringsprosjektet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Agder fylkeskommune viderefører prosjektstøtten til Folkevandringsprosjektet ved Tingvatn.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Ruteutviklingsfond - Kjevik</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Det opprettes et ruteutviklingsfond etter modell fra Rogaland, hvor eksisterende aktører som Visit Sørlandet brukes. Det legges frem en politisk sak for Hovedutvalg for kultur, næring og miljø med forslag til gjennomføring.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Samarbeidsprosjekt med Flekkefjord kommune - ungdomstilbud</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Videreføre felles prosjekt ved Flekkefjord Museum</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Sosialt entreprenørskap</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legges frem en sak for hovedutvalg for næring, kultur og miljø med innretning av tilskudd for sosialt entrepenørskap</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2025</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Lista fuglestasjon</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Innsparing 2025</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2026-2028</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Omstilling 2026-2028: Hvert av områdene har fått en lik andelsmessig reduksjon i hele driftsbudsjett utover i planperioden. De budsjettmessig konsekvensene konkretiseres videre i omstillingsprosjektet.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Kutt i klimatiltak</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kuttes i følgende tiltak: - Nødvendig infrastruktur for elektrifisering av tunge kjøretøy og maskiner på Agder. Utgiften halveres og man går i dialog med næringslivet om delfinansiering. 2025: -1.000 2026: -2.500 2027: -2.500 2028: -2.500 - Agder Symbiose - støtten halveres. 2025: -500 2026: -500 2027: -500 2028: -500 - Hydrogensatsningen i Agder - støtten halveres. 2025: -250 2026: -250 2027: -250 - Klimapartnere Agder. Halvere kostanden, utfordre partnere til å øke bidrag. 2025: -1.000 2026: -1.000 2027: -1.000 2028: -1.000 - Støtte til klimaarbeidet i kommmunene. Kutte helt. 2025: -1.000 2026: -1.000 2027: -1.000 2028: -1.000</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2025</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2026-2028</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Omstilling 2026-2028: Hvert av områdene har fått en lik andelsmessig reduksjon i hele driftsbudsjett utover i planperioden. De budsjettmessig konsekvensene konkretiseres videre i omstillingsprosjektet.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2025</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2026-2028</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Omstilling 2026-2028: Hvert av områdene har fått en lik andelsmessig reduksjon i hele driftsbudsjett utover i planperioden. De budsjettmessig konsekvensene konkretiseres videre i omstillingsprosjektet.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Driftstøtte Gullknapp</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Øke driftstøtten. Fylkeskommunen går i forhandlinger med staten og kommunene om varig drift av tårntjenester og det som er behovet for å videreføre og øke dagens aktivitet. Det er ønskelig med lignende avtale som staten har med de ikke-statlige flyplassene Ørland, Stord og Notodden.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Opprusting og fornying av fylkesvegnettet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Tilleggsbevilgning i statsbudsjettet til å ruste opp fylkesvegnettet på kr 53,5 mill. til Agder. Av dette har fylkeskommunen mottatt ca 31,6 mill. som øremerkede midler via Statens vegvesen tidligere, dette tilskuddet bortfaller i 2025. Reell økning når tallene også er deflatorjustert er ca 22 mill.</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Fra grønt hefte statsbudsjettet 2025:</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tbl>
      <w:tblPr>
        <w:tblStyle w:val="image"/>
        <w:jc w:val="center"/>
        <w:tblCellSpacing w:w="15" w:type="dxa"/>
        <w:tblInd w:w="15" w:type="dxa"/>
        <w:tblCellMar>
          <w:top w:w="15" w:type="dxa"/>
          <w:left w:w="15" w:type="dxa"/>
          <w:bottom w:w="15" w:type="dxa"/>
          <w:right w:w="15" w:type="dxa"/>
        </w:tblCellMar>
        <w:tblLook w:val="05E0"/>
      </w:tblPr>
      <w:tblGrid>
        <w:gridCol w:w="9040"/>
      </w:tblGrid>
      <w:tr>
        <w:tblPrEx>
          <w:jc w:val="center"/>
          <w:tblCellSpacing w:w="15" w:type="dxa"/>
          <w:tblInd w:w="15" w:type="dxa"/>
          <w:tblCellMar>
            <w:top w:w="15" w:type="dxa"/>
            <w:left w:w="15" w:type="dxa"/>
            <w:bottom w:w="15" w:type="dxa"/>
            <w:right w:w="15" w:type="dxa"/>
          </w:tblCellMar>
          <w:tblLook w:val="05E0"/>
        </w:tblPrEx>
        <w:trPr>
          <w:tblCellSpacing w:w="15" w:type="dxa"/>
          <w:jc w:val="center"/>
        </w:trPr>
        <w:tc>
          <w:tcPr>
            <w:noWrap w:val="0"/>
            <w:tcMar>
              <w:top w:w="15" w:type="dxa"/>
              <w:left w:w="15" w:type="dxa"/>
              <w:bottom w:w="15" w:type="dxa"/>
              <w:right w:w="15" w:type="dxa"/>
            </w:tcMar>
            <w:vAlign w:val="center"/>
            <w:hideMark/>
          </w:tcPr>
          <w:p w:rsidR="00A77B3E">
            <w:pPr>
              <w:spacing w:before="0" w:after="0" w:afterAutospacing="1"/>
              <w:ind w:left="0" w:right="0"/>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drawing>
                <wp:inline>
                  <wp:extent cx="5715000" cy="34194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5715000" cy="3419475"/>
                          </a:xfrm>
                          <a:prstGeom prst="rect">
                            <a:avLst/>
                          </a:prstGeom>
                        </pic:spPr>
                      </pic:pic>
                    </a:graphicData>
                  </a:graphic>
                </wp:inline>
              </w:drawing>
            </w:r>
          </w:p>
        </w:tc>
      </w:tr>
    </w:tbl>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Økningen i veibudsjettet ønskes blant annet å fordeles mellom en trygge skoleveier, reasfaltering og vedlikehold. Fylkeskommunedirektøren bes utarbeide et forslag på fordeling av midlene og legger dette frem for SAM-utvalget for politisk behandling.</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Utskiftningstiltak på eiendommer etter vedlikeholdsplan</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ndringer fra 2024 til 2025</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iCs/>
          <w:color w:val="000000"/>
          <w:spacing w:val="0"/>
          <w:sz w:val="22"/>
          <w:u w:val="none"/>
        </w:rPr>
        <w:t xml:space="preserve">Oppdatert; 12.09.24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Videreføring vedlikeholdsplan / utskiftningsplan 2025 (gjelder seksjon øst og vest)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er nødvendig at vi i 2025 arbeide videre med oppdatering og utskiftning av bygningsmassen vi innehar.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har etablert en vedlikeholds/utskiftingsplan for fylkeskommunens eide bygningsmasse som legger grunnlag for prioriteringer fremover. Det arbeides kontinuerlig ajourføring og oppdatering av planen, som synliggjør det vedlikehold/utskiftingsbehov som fylkeskommunen har på sin bygningsmasse og vil danne grunnlag for fremtidig HØP-arbeid.</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Ressursbehov som er avdekket er omfattende og langt høyere enn det som har vært bevilget gjennom tidligere budsjettprosesser. For å oppnå gode løsninger for gjennomføring av større utskiftingsbehov er det helt vesentlig at tankegangen, ved at det etableres en “fond” som kan disponeres uavhengig av årlige budsjettbevilgninger.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2023 ble det bevilget 25 mill til utskiftingstiltak som nå er igangsatt. Det er gjennomført en grundig prioritering av tiltakene ut fra bl.a. risikovurderinger knyttet til drift av bygningsmassen. Vi ser gjennom dette arbeid at behovet for økte budsjettmidler til utskifting av bygningsdeler er stort, og dette er ikke løsbart innenfor rammene til det ordinære vedlikeholdsbudsjett.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2024 er tiltak til 25 mill satt i bestilling, der noe vil løpe over til 2025.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Drifts- og vedlikehold vil i 2025 videre med fokus på å få god forvaltning av fylkeskommunens bygningsmasse sett fra et verdibevarende vedlikehold. Dette medfører en sterkere prioritering av vedlikeholdsoppgaver samt forebyggende driftsoppgaver.</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den sammenheng er det ønskelig å fortsette på listen over aktuelle tiltak, som beskrevet under; </w:t>
      </w:r>
    </w:p>
    <w:tbl>
      <w:tblPr>
        <w:tblStyle w:val="table"/>
        <w:tblW w:w="9825" w:type="dxa"/>
        <w:jc w:val="center"/>
        <w:tblCellSpacing w:w="15" w:type="dxa"/>
        <w:tblInd w:w="22" w:type="dxa"/>
        <w:tblCellMar>
          <w:top w:w="15" w:type="dxa"/>
          <w:left w:w="15" w:type="dxa"/>
          <w:bottom w:w="15" w:type="dxa"/>
          <w:right w:w="15" w:type="dxa"/>
        </w:tblCellMar>
        <w:tblLook w:val="05E0"/>
      </w:tblPr>
      <w:tblGrid>
        <w:gridCol w:w="9795"/>
      </w:tblGrid>
      <w:tr>
        <w:tblPrEx>
          <w:tblW w:w="9825" w:type="dxa"/>
          <w:jc w:val="center"/>
          <w:tblCellSpacing w:w="15" w:type="dxa"/>
          <w:tblInd w:w="22" w:type="dxa"/>
          <w:tblCellMar>
            <w:top w:w="15" w:type="dxa"/>
            <w:left w:w="15" w:type="dxa"/>
            <w:bottom w:w="15" w:type="dxa"/>
            <w:right w:w="15" w:type="dxa"/>
          </w:tblCellMar>
          <w:tblLook w:val="05E0"/>
        </w:tblPrEx>
        <w:trPr>
          <w:tblCellSpacing w:w="15" w:type="dxa"/>
          <w:jc w:val="center"/>
        </w:trPr>
        <w:tc>
          <w:tcPr>
            <w:tcBorders>
              <w:top w:val="single" w:sz="6" w:space="0" w:color="BFBFBF"/>
              <w:left w:val="single" w:sz="6" w:space="0" w:color="BFBFBF"/>
              <w:bottom w:val="single" w:sz="6" w:space="0" w:color="BFBFBF"/>
              <w:right w:val="single" w:sz="6" w:space="0" w:color="BFBFBF"/>
            </w:tcBorders>
            <w:noWrap w:val="0"/>
            <w:tcMar>
              <w:top w:w="15" w:type="dxa"/>
              <w:left w:w="15" w:type="dxa"/>
              <w:bottom w:w="15" w:type="dxa"/>
              <w:right w:w="15" w:type="dxa"/>
            </w:tcMar>
            <w:vAlign w:val="center"/>
            <w:hideMark/>
          </w:tcPr>
          <w:tbl>
            <w:tblPr>
              <w:tblStyle w:val="tabletable"/>
              <w:tblW w:w="5000" w:type="pct"/>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5E0"/>
            </w:tblPr>
            <w:tblGrid>
              <w:gridCol w:w="3331"/>
              <w:gridCol w:w="2029"/>
              <w:gridCol w:w="1479"/>
              <w:gridCol w:w="1479"/>
              <w:gridCol w:w="1447"/>
            </w:tblGrid>
            <w:tr>
              <w:tblPrEx>
                <w:tblW w:w="5000" w:type="pct"/>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5E0"/>
              </w:tblPrEx>
              <w:trPr>
                <w:trHeight w:val="300"/>
              </w:trPr>
              <w:tc>
                <w:tcPr>
                  <w:tcW w:w="3175" w:type="dxa"/>
                  <w:tcBorders>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Sirdal </w:t>
                  </w:r>
                </w:p>
              </w:tc>
              <w:tc>
                <w:tcPr>
                  <w:tcW w:w="2395" w:type="dxa"/>
                  <w:tcBorders>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 - LED</w:t>
                  </w:r>
                </w:p>
              </w:tc>
              <w:tc>
                <w:tcPr>
                  <w:tcW w:w="1695" w:type="dxa"/>
                  <w:tcBorders>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1 000 000,00</w:t>
                  </w:r>
                </w:p>
              </w:tc>
              <w:tc>
                <w:tcPr>
                  <w:tcW w:w="1695" w:type="dxa"/>
                  <w:tcBorders>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Flekkefjord - Flekkefjord </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 til LED</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3 000 000,00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Flekkefjord avd. Kvinesdal</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Lysanlegg LED</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1 000 000,00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Eilert Sundt avd. Farsund</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Farsund - lys og brann</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500 000,00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Byremo vgs</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 til LED</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500 000,00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Mandal vgs</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 til LED</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1 000 000,00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Søgne vgs</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 til LED</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500 000,00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Vågsbygd vgs</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 til LED</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500 000,00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Vågsbygd vgs</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Heis</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1 000 000,00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Kvadraturen</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 til LED</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1 000 000,00</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Kvadraturen</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Taktekking</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500 000,00</w:t>
                  </w: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Tangen vgs</w:t>
                  </w:r>
                </w:p>
              </w:tc>
              <w:tc>
                <w:tcPr>
                  <w:tcW w:w="23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Lys til LED</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3 000 000,00</w:t>
                  </w:r>
                </w:p>
              </w:tc>
              <w:tc>
                <w:tcPr>
                  <w:tcW w:w="1695" w:type="dxa"/>
                  <w:tcBorders>
                    <w:top w:val="single" w:sz="6" w:space="0" w:color="BFBFBF"/>
                    <w:left w:val="single" w:sz="6" w:space="0" w:color="BFBFBF"/>
                    <w:bottom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bottom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r>
            <w:tr>
              <w:tblPrEx>
                <w:tblW w:w="5000" w:type="pct"/>
                <w:tblCellMar>
                  <w:top w:w="15" w:type="dxa"/>
                  <w:left w:w="15" w:type="dxa"/>
                  <w:bottom w:w="15" w:type="dxa"/>
                  <w:right w:w="15" w:type="dxa"/>
                </w:tblCellMar>
                <w:tblLook w:val="05E0"/>
              </w:tblPrEx>
              <w:trPr>
                <w:trHeight w:val="300"/>
              </w:trPr>
              <w:tc>
                <w:tcPr>
                  <w:tcW w:w="3175" w:type="dxa"/>
                  <w:tcBorders>
                    <w:top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Tangen vgs </w:t>
                  </w:r>
                </w:p>
              </w:tc>
              <w:tc>
                <w:tcPr>
                  <w:tcW w:w="2395" w:type="dxa"/>
                  <w:tcBorders>
                    <w:top w:val="single" w:sz="6" w:space="0" w:color="BFBFBF"/>
                    <w:left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SD anlegg </w:t>
                  </w:r>
                </w:p>
              </w:tc>
              <w:tc>
                <w:tcPr>
                  <w:tcW w:w="1695" w:type="dxa"/>
                  <w:tcBorders>
                    <w:top w:val="single" w:sz="6" w:space="0" w:color="BFBFBF"/>
                    <w:left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95" w:type="dxa"/>
                  <w:tcBorders>
                    <w:top w:val="single" w:sz="6" w:space="0" w:color="BFBFBF"/>
                    <w:left w:val="single" w:sz="6" w:space="0" w:color="BFBFBF"/>
                    <w:right w:val="single" w:sz="6" w:space="0" w:color="BFBFBF"/>
                  </w:tcBorders>
                  <w:noWrap w:val="0"/>
                  <w:tcMar>
                    <w:top w:w="15" w:type="dxa"/>
                    <w:left w:w="78" w:type="dxa"/>
                    <w:bottom w:w="15" w:type="dxa"/>
                    <w:right w:w="78" w:type="dxa"/>
                  </w:tcMar>
                  <w:vAlign w:val="bottom"/>
                  <w:hideMark/>
                </w:tcPr>
                <w:p w:rsidR="00A77B3E">
                  <w:pPr>
                    <w:spacing w:afterAutospacing="1"/>
                    <w:ind w:left="0"/>
                    <w:jc w:val="left"/>
                    <w:rPr>
                      <w:rFonts w:ascii="Calibri" w:eastAsia="Calibri" w:hAnsi="Calibri" w:cs="Calibri"/>
                      <w:b w:val="0"/>
                      <w:i w:val="0"/>
                      <w:color w:val="000000"/>
                      <w:spacing w:val="0"/>
                      <w:sz w:val="22"/>
                      <w:u w:val="none"/>
                    </w:rPr>
                  </w:pPr>
                </w:p>
              </w:tc>
              <w:tc>
                <w:tcPr>
                  <w:tcW w:w="1655" w:type="dxa"/>
                  <w:tcBorders>
                    <w:top w:val="single" w:sz="6" w:space="0" w:color="BFBFBF"/>
                    <w:left w:val="single" w:sz="6" w:space="0" w:color="BFBFBF"/>
                  </w:tcBorders>
                  <w:noWrap w:val="0"/>
                  <w:tcMar>
                    <w:top w:w="15" w:type="dxa"/>
                    <w:left w:w="78" w:type="dxa"/>
                    <w:bottom w:w="15" w:type="dxa"/>
                    <w:right w:w="78" w:type="dxa"/>
                  </w:tcMar>
                  <w:vAlign w:val="bottom"/>
                  <w:hideMark/>
                </w:tcPr>
                <w:p w:rsidR="00A77B3E">
                  <w:pPr>
                    <w:spacing w:afterAutospacing="1"/>
                    <w:ind w:left="0"/>
                    <w:jc w:val="righ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8000000,00</w:t>
                  </w:r>
                </w:p>
              </w:tc>
            </w:tr>
          </w:tbl>
          <w:p w:rsidR="00A77B3E">
            <w:pPr>
              <w:rPr>
                <w:rFonts w:ascii="Calibri" w:eastAsia="Calibri" w:hAnsi="Calibri" w:cs="Calibri"/>
                <w:b w:val="0"/>
                <w:i w:val="0"/>
                <w:color w:val="000000"/>
                <w:spacing w:val="0"/>
                <w:sz w:val="22"/>
                <w:u w:val="none"/>
              </w:rPr>
            </w:pPr>
          </w:p>
        </w:tc>
      </w:tr>
    </w:tbl>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Prioriteringer er gjort på et faglig grunnlag og tar høyde for våre prioriteringer i forhold til punktene beskrevet over.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Eller er det verdt å merke seg at prioriteringene ikke er låst, men at dersom vi i vurderingene finner det hensiktsmessig å sette tiltak på vent, grunnet faktorer så tas det en helhetlig vurdering på dette.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Budsjett 25: Det ønskes økte 21,5 Mill for videreføring av behov skissert i vedlikeholdsp</w:t>
      </w:r>
      <w:r>
        <w:rPr>
          <w:rFonts w:ascii="Calibri" w:eastAsia="Calibri" w:hAnsi="Calibri" w:cs="Calibri"/>
          <w:b w:val="0"/>
          <w:i w:val="0"/>
          <w:color w:val="000000"/>
          <w:spacing w:val="0"/>
          <w:sz w:val="22"/>
          <w:u w:val="none"/>
        </w:rPr>
        <w:t>lanen. Det var rom for 10 mill. i økonomiplanen.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2025</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Omstilling 2025: Hvert av områdene har fått en reduksjon i driftsbudsjett på 4 % av relevant lønns- og driftskostnader. Direkte tjenesteproduksjon i samferdsel og eiendom, videregående skole og Tannhelse med tilhørende driftskostnader er holdt. Dette gjelder også tilskudd til Agder kollektivtrafikk AS.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2026-2028</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Omstilling 2026-2028: Hvert av områdene har fått en lik andelsmessig reduksjon i hele driftsbudsjett utover i planperioden. De budsjettmessig konsekvensene konkretiseres videre i omstillingsprosjektet.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Desentralisert utdanning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Det gis et tilskudd til Lister Kompetanse på 2 millioner. Dette vil bortfalle om det igjen gis satslig støtte over statsbudsjettet som tidligere. Det settes også av 3 millioner til at felles prosjekter med Østre Agder regionråd og Setesdal regionråd for å tilby denstralisert utdanning i sine regioner.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Endringer tilbudsstruktur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Økte budsjettmidler for oppfølging av endringer i tilbudsstrukturen.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Oppfølging av ungdomskriminalitet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vil styrke samarbeid for barn som har begått lovbrudd med Friomsorgen og Konfliktrådet angående ungdomsreaksjoner Det gis et tilskudd som kan brukes til aktiviteter som skaper inkludering, motivasjon og mestring, slik at ungdommen kan bygge trygge relasjoner til voksne som skal følge dem i straffegjennomføringen.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Skolepsykologer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bes om en sak om opprettelse av et team med ambulerende skolepsykolog som jobber i samarbeid med skolehelsetjenesten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Tilskudd til en trygg gjennomføring av russetiden</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Det opprettes en søkbarpot for å sikre en trygg gjennomføring av russetiden. Hovedutvalg for utdanning og folkehelse vedtar søknadskriterer etter innspill fra Ungdommens fylkesutvalg.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Ungdomskriminalitet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har hatt mange barnevernsinstitusjoner og har hatt mange ungdommer plassert i ungdomsenheten i Bergen eller Eidsberg. Nå etableres det 11 nye plasser til unge lovbrytere i Evje fengsel. På samme tid etableres det to nye statlige barnevernsinstitusjoner i Agder.  Videre har Agder historisk og akkurat nå, hatt mange ungdommer i straffereaksjoner.  Fylkestinget ønsker å skape bedre forhold for å lykkes med disse ungdommene som er marginaliserte og som ofte opplever utenforskap. Agder Fylkeskommune kan følge opp tingrettens initativ til å legge til rette for bedre forutsetninger for å lykkes med disse ungdommene.  Fylkestinget ber om at fylkeskommunedirektøren går i dialog med Bufetat, Friomsorgen, Konfliktrådet og Politiet for å bedre samhandling med mål om større gevinstrealisering i denne gruppen. Videre er det behov for å se på hvilke virkemidler og verktøy man har sammen for å ramme inn disse ungdommene på en måte som inkluderer og motivere heller enn å ekskludere og ytterligere marginalisere.</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Investeringer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650" w:type="pct"/>
      </w:tblPr>
      <w:tblGrid>
        <w:gridCol w:w="2791"/>
        <w:gridCol w:w="1444"/>
        <w:gridCol w:w="1021"/>
        <w:gridCol w:w="983"/>
        <w:gridCol w:w="969"/>
        <w:gridCol w:w="1021"/>
        <w:gridCol w:w="983"/>
        <w:gridCol w:w="969"/>
        <w:gridCol w:w="1021"/>
        <w:gridCol w:w="983"/>
        <w:gridCol w:w="969"/>
        <w:gridCol w:w="1021"/>
        <w:gridCol w:w="983"/>
        <w:gridCol w:w="969"/>
      </w:tblGrid>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2025</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Investering</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Godkjenningsvedtak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Programområde Sykkelbytiltak</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Effektiv veiutbygging</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Finansiering og øvrige poster</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-116 237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-114 712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-134 259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-130 734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-133 920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-130 395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-127 278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-123 753</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-249 357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-12 137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-261 494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-389 975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-24 463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-414 438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-457 215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-6 439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-463 654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-469 352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-7 439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-476 791</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20 612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-295 388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40 938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-201 062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22 914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-182 086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23 914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-181 086</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Finansiering og øvrige poster</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-681 594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-671 594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-766 234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-746 234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-796 135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-776 135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-801 630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-781 630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 sum endringer i investeringsbudsjettet</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-658 594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-658 594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-748 234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-748 234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-768 135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-768 135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-773 630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-773 630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Programområde Sykkelbytiltak</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Samlepost for finansiering av små og mellomstore tiltak for å fremme sykling og gange i de utpekte sykkelbyene på Agder. Dette kan blant annet være mulighetstudier, skiltplan og skilting for gående og syklende, tiltak etter inspeksjon av gang- og sykkelveger, oppgradering eller nybygging av infrastruktur, reasfaltering, etablering av siktsoner, fjellsikring og tellepunkter. Midlene fordeles årlig i dialog med sykkelbyene.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Effektiv veiutbygging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Fylkestinget ber om en gjennomgang av fremtidige utbyggingsprosjekter og ber om at det vurderes om det kan bygges mer effektivt. Det bes spesielt sees på om de kan: avvike fra veinormalen, bygge etter en "godt nok"-standard og forholde oss til nasjonale klimakrav for å redusere utbyggingskostnadene.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Verbalforslag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Reklame på buss</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styret i AKT om å legge ut et anbud for felles reklame på relevante flater som buss, utvendig og innvendig, skjermer og fylkeskommunale bussholdeplasser etter modell fra Ruter. Inntektene går utelukkende til å øke ruteproduksjon, med de første 5 millionene prioritert til distriktsruter.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Gjennomgang av utbyggingsprosjekter</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en gjennomgang av fremtidige utbyggingsprosjekter og ber om at det vurderes om det kan bygges mer effektivt. Det bes spesielt sees på om de kan: avvike fra veinormalen, bygge etter en "godt nok"-standard og forholde oss til nasjonale klimakrav for å redusere utbyggingskostnadene.</w:t>
      </w:r>
      <w:r>
        <w:rPr>
          <w:rFonts w:ascii="Calibri" w:eastAsia="Calibri" w:hAnsi="Calibri" w:cs="Calibri"/>
          <w:b w:val="0"/>
          <w:i w:val="0"/>
          <w:color w:val="000000"/>
          <w:spacing w:val="0"/>
          <w:sz w:val="22"/>
          <w:u w:val="none"/>
        </w:rPr>
        <w:t>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Grønn skolereise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legges fram en sak for å stimulere til økt bruk av sykkel hos elever i videregående skole.</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Muligheter for innovasjon i energiproduksjonen</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Ved utarbeidelse av regional plan for grønn industri og energi ber fylkestinget om det sees på hvilke ulike måter Agder fylkeskommune kan bidra til å stimulere til innovasjon i fornybar energiproduksjon og hvordan fylkeskommunen kan samarbeide med lokalt næringsliv og landbruk om å utvikle nye løsninger, gjerne med vekt på sirkulære verdikjeder, for bruk av overskuddsenergi og biprodukter til nye næringer. Det rapporteres til hovedutvalg for næring, kultur og miljø underveis.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Naturrestaurering</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at det med videre arbeid med arealregnskapet for Agder gjøres en kartlegging av områder som er særlig godt egnet for naturrestaurering.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Konsesjonskraft</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at bruken av konsesjonsmidler skal synleggjerast i budsjett og rapporteres på regnskap. Dette er viktige midler for å finansiere viktige distriktstiltak.</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Anbud på kollektiv</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en sak som vurderer muligheten for at man ved innhenting av anbud på ferger eller bussruter be om at det legges ved et tilbud med fossile løsninger i tillegg til fossilfrie løsninger, slik at de som fatter beslutningene ser forskjellen i pris og tar avgjørelser deretter.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Norske kjernekraftskommuner</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vedtar at Agder fylkeskommune tiltrer nettverket Norske kjernekraftkommuner (NKK). Medlemskontingenten på 20 000 kroner dekkes fra midler avsatt til klima- og energiprosjekter i fylkeskommunens årsbudsjett.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Ettervernsbedrifter</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fylkeskommunedirektøren om å gå i dialog med etterverns bedriften F16 i Farsund for å se på muligheten for videre drift, siden virksomheten har mistet statlig støtte. Det bes om en sak som viser omfanget av ettervernsbedrifter i Agder som har mistet statlig støtte og hvilke konsekvenser dette har for brukerne.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Mentorordning og lærerspesialister</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administrasjonen legge frem en sak på mentorordning for nyutdannede lærere og muligheten for å tilby et regionalt tilbud med egne lærerspesialister. Agder fylkeskommune skal tilby alle nyutdannede lærere en mentorordning og sørge for videre oppfølging av alle lærerne våre.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Fylkeshuset - et levende bygg</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planleggingen av nytt fylkeshus var en av visjonen at det skulle være et levende bygg. Som også kunne brukes av andre enn fylkeskommunen. Fylkestinget ber om en orientering i februarmøte om hvordan dette går.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Ferjekontrakter og TT-ordningen over til AKT</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en politisk sak om at AKT overtar ferjekontraktene fra fylkeskommunen for å styrke kompetansen på oppfølging av båt- og ferjekontrakter. Det bes også om en vurdering om man kan overføre TT-ordningen til AKT.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Gjennomgang av tannhelsetjenesten</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en politisk sak som gjennomgår hele tannhelsetjenesten. Relevante spørsmål som ønskes besvart er: </w:t>
      </w:r>
      <w:r>
        <w:rPr>
          <w:rFonts w:ascii="Calibri" w:eastAsia="Calibri" w:hAnsi="Calibri" w:cs="Calibri"/>
          <w:b w:val="0"/>
          <w:i w:val="0"/>
          <w:color w:val="000000"/>
          <w:spacing w:val="0"/>
          <w:sz w:val="22"/>
          <w:u w:val="none"/>
        </w:rPr>
        <w:br/>
      </w:r>
      <w:r>
        <w:rPr>
          <w:rFonts w:ascii="Calibri" w:eastAsia="Calibri" w:hAnsi="Calibri" w:cs="Calibri"/>
          <w:b w:val="0"/>
          <w:i w:val="0"/>
          <w:color w:val="000000"/>
          <w:spacing w:val="0"/>
          <w:sz w:val="22"/>
          <w:u w:val="none"/>
        </w:rPr>
        <w:t>- En gjennomgang av alle kommende oppgraderingskostnader ved våre klinikker og en vurdering av disse. </w:t>
      </w:r>
      <w:r>
        <w:rPr>
          <w:rFonts w:ascii="Calibri" w:eastAsia="Calibri" w:hAnsi="Calibri" w:cs="Calibri"/>
          <w:b w:val="0"/>
          <w:i w:val="0"/>
          <w:color w:val="000000"/>
          <w:spacing w:val="0"/>
          <w:sz w:val="22"/>
          <w:u w:val="none"/>
        </w:rPr>
        <w:br/>
      </w:r>
      <w:r>
        <w:rPr>
          <w:rFonts w:ascii="Calibri" w:eastAsia="Calibri" w:hAnsi="Calibri" w:cs="Calibri"/>
          <w:b w:val="0"/>
          <w:i w:val="0"/>
          <w:color w:val="000000"/>
          <w:spacing w:val="0"/>
          <w:sz w:val="22"/>
          <w:u w:val="none"/>
        </w:rPr>
        <w:t>- Hva er variasjonen på de forskjellige klinikkene basert antall behandlede pasienter om dagen, og kan det utformes felles forventninger om behandlinger. Basert på benchmarking og felles effektivitetsprosedyrer for alle klinikkene. – En utredning av hvilke incentiver som kan gis den enkelte behandler for å sikre effektiv drift, f. eks en bonus av andel av Helfo-refusjoner som mange kommuner benytter med kommunale fastleger.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Bøylestad næringspark</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administrasjonen om å sette i gang arbeidet med å avklare og regulere tilkomstvei til Bøylestad næringsområde i Froland. Hovedutvalg for samferdsel og eiendom holdes orientert om fremdriften.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Havforskningsinstituttet - Flødevigen</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har tidligere bevilget 10 millioner kroner til utbygging ved Havforskningsinstituttet Flødevigen. Det er gledelig å registrere at de også har fått betydelige midler i gave. Plassmangel og infrastrukturbehov er i dag en begrensende faktor for videre utvikling av et viktig kompetansemiljø for hele regionen. Fylkestinget ber derfor om å bli holdt orientert om arbeidet med utbyggingen og eventuelle behov som måtte oppstå for ytterligere bevilgninger.</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Vedlegg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første ledd</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2025</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-3 266 101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-3 266 101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-3 256 712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-3 256 712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-3 247 323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-3 247 323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-3 247 323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-3 247 323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Inntekts- og formuesskatt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-2 206 622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-2 206 622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-2 209 067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-2 209 067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-2 211 512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-2 211 512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-2 211 512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-2 211 512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Andre generelle driftsinntekter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-68 400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generelle driftsinntekter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-5 541 123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-5 541 123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-5 534 179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-5 534 179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-5 527 235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-5 527 235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-5 527 235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-5 527 235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5 145 704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5 166 316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5 060 944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5 101 044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5 070 928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5 091 178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5 020 631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5 041 131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464 522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464 522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460 585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460 585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457 609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457 609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451 441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451 441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netto driftsutgifter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5 610 226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5 630 838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5 521 529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5 561 629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5 528 537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5 548 787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5 472 072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5 492 572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Brutto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69 103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89 715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-12 650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27 450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1 302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21 552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-55 163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-34 663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-111 962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-111 962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-94 511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-94 511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-87 836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-87 836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-87 455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-87 455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Utbytter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Gevinster og tap på finansielle omløpsmidler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197 164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197 164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178 271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178 704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169 222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1 444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170 666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1 980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173 803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223 502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223 907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235 971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237 191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249 896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251 331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finansutgifter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301 175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301 175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302 262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838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303 100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312 357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2 664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315 021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329 264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3 414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332 678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Motpost 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-464 522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-464 522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-460 585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-460 585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-457 609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-457 609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-451 441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-451 441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-94 244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-73 632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-170 973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40 938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-130 035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-143 950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22 914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-121 036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-177 340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23 914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-153 426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316 000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-20 612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295 388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242 000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-40 938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201 062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-22 914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182 086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-23 914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181 086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-191 756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-191 756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-61 050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-61 050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-27 660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-27 660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94 244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73 632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170 973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-40 938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130 035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143 950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-22 914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121 036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177 340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-23 914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153 426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Merforbruk/mindreforbruk</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andre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2025</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Fylkeskommunedirektør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2 422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1 422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2 922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Felles inntekter og 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-398 671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-40 288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-438 959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-398 101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-398 101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-397 642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-397 642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-397 285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-397 285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Analyse og plan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28 986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28 536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28 786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28 236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28 586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27 936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28 586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27 936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Folkehelse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211 921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221 321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208 326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213 126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206 026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209 176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206 526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209 676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Innovasjon og organisasjonsutvikling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236 818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233 068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233 318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-4 450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228 868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233 518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228 368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231 918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226 768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Næring, kultur og kulturminnevern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283 316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293 616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277 003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290 203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304 903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316 303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274 903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286 303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Regionplan 2030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68 377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-4 450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63 927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67 152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61 002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66 527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-6 350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60 177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66 495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60 395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Økonomi og styring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61 152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59 952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60 752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59 352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59 302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57 702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59 302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57 702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Samferdsel og 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1 862 599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1 906 849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1 817 627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39 050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1 856 677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1 809 002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1 842 552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1 805 055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1 838 605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2 736 984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2 744 284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2 741 859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2 738 959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2 738 484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2 727 384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2 726 409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2 715 309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Herav: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Netto renteutgifter og -inntekter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-51 300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-21 300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-19 300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-19 300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-15 800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-15 800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5 145 704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5 166 316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5 060 944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5 101 044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5 070 928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5 091 178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5 020 631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5 041 131</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første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2838"/>
        <w:gridCol w:w="1010"/>
        <w:gridCol w:w="997"/>
        <w:gridCol w:w="993"/>
        <w:gridCol w:w="1010"/>
        <w:gridCol w:w="997"/>
        <w:gridCol w:w="993"/>
        <w:gridCol w:w="1010"/>
        <w:gridCol w:w="997"/>
        <w:gridCol w:w="993"/>
        <w:gridCol w:w="1010"/>
        <w:gridCol w:w="997"/>
        <w:gridCol w:w="993"/>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2025</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848 430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838 430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919 000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899 000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912 067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892 067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822 531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802 531</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aksjer og andeler i selskaper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851 430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841 430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922 000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902 000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915 067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895 067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825 531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805 531</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-116 237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-114 712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-134 259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-130 734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-133 920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-130 395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-127 278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-123 753</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fra andre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-124 109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-124 109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-110 766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-110 766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Salg av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-249 357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-12 137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-261 494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-389 975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-24 463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-414 438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-457 215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-6 439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-463 654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-469 352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-7 439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-476 791</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-509 703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-520 315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-680 000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-20 938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-700 938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-698 702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-701 616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-609 630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-3 914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-613 544</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 til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13 437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13 437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6 730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6 730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6 207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6 207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Mottatte avdrag på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-13 437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-13 437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-6 730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-6 730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-6 207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-6 207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utgifter videreutlån</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20 612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-295 388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40 938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-201 062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22 914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-182 086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23 914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-181 086</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investeringsfond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-25 726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-25 726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-341 726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20 612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-321 114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40 938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-201 062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-216 365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22 914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-193 451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-215 901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23 914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-191 987</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Udekket/udisponert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andre ledd</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2854"/>
        <w:gridCol w:w="1009"/>
        <w:gridCol w:w="996"/>
        <w:gridCol w:w="991"/>
        <w:gridCol w:w="1009"/>
        <w:gridCol w:w="996"/>
        <w:gridCol w:w="991"/>
        <w:gridCol w:w="1009"/>
        <w:gridCol w:w="996"/>
        <w:gridCol w:w="991"/>
        <w:gridCol w:w="1009"/>
        <w:gridCol w:w="996"/>
        <w:gridCol w:w="99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2025</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Andre prosjekter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Øvrige tiltak på fylkesveg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228 913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228 913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303 500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303 500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261 587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261 587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108 000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Prioritere barn og unge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142 877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132 877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157 500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150 370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140 370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175 500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165 500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 vare på det vi har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148 502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148 502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346 733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346 733</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Bompengeprosjekter/ byvekstavtale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128 638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128 638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119 110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119 110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27 797</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648 930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638 930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752 000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717 067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697 067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658 030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638 030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Skolebygg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Infrastruktur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46 501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46 501</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Administrative bygg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164 000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164 000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161 501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161 501</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Utstyr- og utviklingsinvesteringer (driftsfinansiert)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Utstyr- og utviklingsinvesteringer (driftsfinansiert)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Utstyr- og utviklingsinvesteringer (driftsfinansiert)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Tilskudd til andres 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2757"/>
        <w:gridCol w:w="1015"/>
        <w:gridCol w:w="1005"/>
        <w:gridCol w:w="1001"/>
        <w:gridCol w:w="1015"/>
        <w:gridCol w:w="1005"/>
        <w:gridCol w:w="1001"/>
        <w:gridCol w:w="1015"/>
        <w:gridCol w:w="1005"/>
        <w:gridCol w:w="1001"/>
        <w:gridCol w:w="1015"/>
        <w:gridCol w:w="1005"/>
        <w:gridCol w:w="100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2025</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 i aksjer og andeler i selskaper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2844"/>
        <w:gridCol w:w="1010"/>
        <w:gridCol w:w="997"/>
        <w:gridCol w:w="992"/>
        <w:gridCol w:w="1010"/>
        <w:gridCol w:w="997"/>
        <w:gridCol w:w="992"/>
        <w:gridCol w:w="1010"/>
        <w:gridCol w:w="997"/>
        <w:gridCol w:w="992"/>
        <w:gridCol w:w="1010"/>
        <w:gridCol w:w="997"/>
        <w:gridCol w:w="992"/>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2025</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Egenkapitalinnskudd KLP</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pPr>
    </w:p>
    <w:sectPr>
      <w:headerReference w:type="default" r:id="rId5"/>
      <w:footerReference w:type="default" r:id="rId6"/>
      <w:pgSz w:w="16838" w:h="11906" w:orient="landscape"/>
      <w:pgMar w:top="1440" w:right="1134" w:bottom="1440"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Side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PAGE</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r>
      <w:rPr>
        <w:rFonts w:ascii="Calibri" w:eastAsia="Calibri" w:hAnsi="Calibri" w:cs="Calibri"/>
        <w:b w:val="0"/>
        <w:i w:val="0"/>
        <w:color w:val="000000"/>
        <w:spacing w:val="0"/>
        <w:sz w:val="22"/>
        <w:u w:val="none"/>
      </w:rPr>
      <w:t xml:space="preserve"> av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NUMPAGES</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Budsjettforslag - Posisjonen 2025-2028</w:t>
    </w:r>
  </w:p>
  <w:p>
    <w:pPr>
      <w:jc w:val="center"/>
      <w:rPr>
        <w:rFonts w:ascii="Calibri" w:eastAsia="Calibri" w:hAnsi="Calibri" w:cs="Calibri"/>
        <w:b w:val="0"/>
        <w:i w:val="0"/>
        <w:color w:val="000000"/>
        <w:spacing w:val="0"/>
        <w:sz w:val="22"/>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mage">
    <w:name w:val="image"/>
    <w:basedOn w:val="TableNormal"/>
    <w:tblPr/>
  </w:style>
  <w:style w:type="table" w:customStyle="1" w:styleId="tabletable">
    <w:name w:val="table_table"/>
    <w:basedOn w:val="TableNormal"/>
    <w:tbl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