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Budsjettforslag Arbeiderpartiet 2026-2029</w:t>
      </w:r>
    </w:p>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Agder fylkeskommune</w:t>
      </w:r>
    </w:p>
    <w:p w:rsidR="00A77B3E">
      <w:pPr>
        <w:pStyle w:val="Heading2"/>
        <w:spacing w:before="0" w:after="0"/>
        <w:jc w:val="left"/>
        <w:rPr>
          <w:rFonts w:ascii="Calibri" w:eastAsia="Calibri" w:hAnsi="Calibri" w:cs="Calibri"/>
          <w:b/>
          <w:i w:val="0"/>
          <w:color w:val="0070C0"/>
          <w:spacing w:val="0"/>
          <w:sz w:val="26"/>
          <w:u w:val="none"/>
        </w:rPr>
      </w:pPr>
      <w:r>
        <w:pict>
          <v:line id="_x0000_s1025" style="position:absolute;z-index:251658240" from="0,0" to="664.45pt,0"/>
        </w:pict>
      </w:r>
      <w:r>
        <w:rPr>
          <w:rFonts w:ascii="Calibri" w:eastAsia="Calibri" w:hAnsi="Calibri" w:cs="Calibri"/>
          <w:b w:val="0"/>
          <w:i w:val="0"/>
          <w:color w:val="000000"/>
          <w:spacing w:val="0"/>
          <w:sz w:val="22"/>
          <w:u w:val="none"/>
        </w:rPr>
        <w:br w:type="page"/>
      </w:r>
      <w:r>
        <w:rPr>
          <w:rFonts w:ascii="Calibri" w:eastAsia="Calibri" w:hAnsi="Calibri" w:cs="Calibri"/>
          <w:b/>
          <w:i w:val="0"/>
          <w:color w:val="0070C0"/>
          <w:spacing w:val="0"/>
          <w:sz w:val="26"/>
          <w:u w:val="none"/>
        </w:rPr>
        <w:t>Introduksjon</w:t>
      </w:r>
    </w:p>
    <w:p w:rsidR="00A77B3E">
      <w:pPr>
        <w:spacing w:before="0" w:after="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Vår plan for Agder.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Våre prioriteringer handler om å gi folk trygghet i hverdagen, bygge rettferdighet og tro på framtida.</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vil utvikle hele Agder – og prioriterer en god nærskole, mindre klasser i distriktene, styrker laget rundt eleven og ekstra satsning på yrkesfag.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er et fylke i vekst og utvikling, og behovet for arbeidskraft vil vokse. De sosiale og økonomiske forskjellene øker og fortsatt står alt for mange av våre unge under 29 år utenfor arbeid, utdanning eller aktivitet. Våre viktigste satsninger er derfor utdanning, kompetanse og tiltak som hjelper unge inn i jobb, skole eller aktivitet.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har de aller største ambisjonene for skolene våre, og våre videregående skoler skal gi de unge en god start på voksenlivet!</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Å gi ungdom en videregående utdanning er å gi de grunnlaget for en jobb eller videre studier.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Da må vi sørge for at de har tilgang til den opplæringen de ønsker seg, og som arbeidslivet har behov for. Derfor prioriterer vi et bredt opplæringstilbud i hele fylket. Vi vet at reiseavstand betyr mye, ingen tror at ungdom blir motivert av lang skolevei.  Nærskoleprinsippet er viktig for oss. Skal vi sikre lokalt arbeidsliv arbeidskraft må vi akseptere litt mindre klasser i distriktene, og setter av penger til det.</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Innenfor utdanning og levekår prioriterer vi derfor:</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Reversere flate kutt fra det borgerlige politiske flertallet, styrke laget rundt eleven, styrking av yrkesfag og mindre klasser i distriktene.</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vil ha et selvmordsforebyggende program inn i våre videregående skoler fordi vi har ingen å miste</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Næring er viktig for læring, og gir gode sosiale møteplasser i løpet av skoledagen. Derfor vil vi ha gratis skolelunsj</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Sommerjobb gir ungdom arbeidserfaring og lommepenger. Vi setter av penger slik at våre skoler, museer og andre institusjoner kan ta inn ungdom, samt støtteordning til bedrifter og kommuner som gir ungdom sommerjobb.</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setter av 21,7 millioner kr til tanhelse, og mener fortsatt våre offentlige tannklinikker skal få ta imot voksne betalende kunder.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vil at kollektivtransport skal være et godt alternativ til bil, både for de som pendler, de som skal på skole og de som ønsker å delta i ulike aktiviteter. Kollektiv skal være et alternativ også på mindre steder, derfor skal AKT Svipp etter hvert rulles ut i alle kommuner.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vil mer for kollektivtransporten og innbyggerne våre, og vil derfor:</w:t>
      </w:r>
    </w:p>
    <w:p w:rsidR="00A77B3E">
      <w:pPr>
        <w:numPr>
          <w:ilvl w:val="0"/>
          <w:numId w:val="2"/>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innføre et soneløst månedskort for 300 kr for alle barn og unge under 29 år.</w:t>
      </w:r>
    </w:p>
    <w:p w:rsidR="00A77B3E">
      <w:pPr>
        <w:spacing w:before="0" w:after="0" w:afterAutospacing="1"/>
        <w:ind w:left="72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vil ha stort behov for arbeidskraft framover, samtidig som vår geografiske plassering, kompetanse, teknologi og etablerte industri gir oss store muligheter til å videreutvikle eksisterende og skape nye grønne arbeidsplasser samtidig som vi kutter klimautslipp og tar vare på natur.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har store ambisjoner på vegne av landsdelen vår.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Dersom Agder skal lykkes som hjemmehavn for havvind-satsningen, overføre gods fra vei til kjøl gjennom fergeforbindelse til Europa, og styrke vår posisjon innen forsvar og beredskap må havneinfrastrukturen utvikles. </w:t>
      </w:r>
      <w:r>
        <w:rPr>
          <w:rFonts w:ascii="Calibri" w:eastAsia="Calibri" w:hAnsi="Calibri" w:cs="Calibri"/>
          <w:b w:val="0"/>
          <w:i w:val="0"/>
          <w:color w:val="000000"/>
          <w:spacing w:val="0"/>
          <w:sz w:val="22"/>
          <w:u w:val="none"/>
        </w:rPr>
        <w:t>Både offentlige og private aktører har tydelig signalisert behovet for å videreutvikle og konkretisere design og utforming av framtidens havner. Dette er avgjørende for å fastsette kostnadsrammer og sikre nødvendig finansiering fra både offentlige virkemidler og privat kapital.</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Arbeiderpartiet vil mer for regionen, og for å styrke Agders posisjon i den grønne omstillingen prioriterer vi:</w:t>
      </w:r>
    </w:p>
    <w:p w:rsidR="00A77B3E">
      <w:pPr>
        <w:numPr>
          <w:ilvl w:val="0"/>
          <w:numId w:val="3"/>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8 millioner kroner til en søkbar støtteordning for videreutvikling av regionens havner.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setter også av penger til regionalt kulturfond og næringsfond.</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 oss i Arbeiderpartiet er det viktig å ta vare på det vi har, utbedre det vi kan og bygge nytt der vi må.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er et av fylkene som er veivinnere nasjonalt – E18, E39, Rv 9, Rv 41, Gartnerløkka, Ytre ringvei og Byvekstavtalen er alle store prosjekter i vår region. Det betyr mer trafikksikre veier, nye gang og sykkelveier som knytter regionen tettere sammen. Vi legger inn midler til planlegging Fv 460 Lindesnesveien, og står fast ved industriveien i Arendal.</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gir oss også utfordringer med å ha nok folk og nok kompetanse, og den høye aktiviteten kan være prisdrivende.</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har hele veien støttet og vært pådrivere for viktige veiprosjekter, men nå er tida for å pause litt på egen aktivitet – og vi skyver på noen prosjekter. Prosjekter som handler om barn og unges sikkerhet, og de med den største samfunnsnytten skal fortsatt prioriteres.</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 Arbeiderpartiet er trygg økonomisk styring viktig. Agder fylkeskommune har god økonomistyring, god økonomi og konsesjonskraftsinntekter mange andre misunner oss.</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er uenige i de flate kuttene til Høyre, Frp, Krf, Sp og V som betyr kutt i viktige velferdstjenester som tannlege, skole og busstilbud.</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Vår videregående skole skal gi unge en god start på voksenlivet. </w:t>
      </w:r>
      <w:r>
        <w:rPr>
          <w:rFonts w:ascii="Calibri" w:eastAsia="Calibri" w:hAnsi="Calibri" w:cs="Calibri"/>
          <w:b w:val="0"/>
          <w:i w:val="0"/>
          <w:color w:val="000000"/>
          <w:spacing w:val="0"/>
          <w:sz w:val="22"/>
          <w:u w:val="none"/>
        </w:rPr>
        <w:t>Våre viktigste og store satsninger er derfor utdanning, kompetanse og tiltak som hjelper unge inn i jobb, skole eller aktivitet.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Tiltak i driftsbudsjettet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Reduksjon Fylkesordfører- og Fylkesutvalges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Reduksjon i møtegodtgjørelse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 inntekter voksne betalende kunder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Organisasjon og tannhelse</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12 546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Regionale næringsfond i Agder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Avvikle medlemskap i Norske kjernekraftkommuner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Likestilt arbeidsliv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Regionale kulturfond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Sommerjobbprosjekt for ungdom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Virkemiddelapparatet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Næring, plan og kultur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7 550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6 550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Innsparingstiltak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Omstilling - Reduksjon i budsjett for Agder Kollektivtrafikk (AKT)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Månedskort Ungdom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-17 400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25 400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Forsterke 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Studiesenter distriktsutdanning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Traktorsertifikat for elever på vg1 naturbruk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Ung i Agder. Kvalifiserende møteplasser.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Utdanning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34 100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33 600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Sentrale poster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-3 556 248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207 805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221 247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4 581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255 453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5 435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271 931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-123 437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-144 937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Sentrale poster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-2 964 116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-81 196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-3 045 312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-2 864 913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-2 952 009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-2 859 523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-2 938 619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-2 861 302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-2 940 399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Totalsum endringer i driftsbudsjettet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headerReference w:type="default" r:id="rId4"/>
          <w:footerReference w:type="default" r:id="rId5"/>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Tannhelse</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Forsterking tannhelsetjenesten.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Regionale næringsfond i Agder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single"/>
        </w:rPr>
        <w:t>Regionale næringsfond i Agder</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Regionale næringsfond i Agder er et samarbeid mellom Agder fylkeskommune og samtlige kommuner i fylket. Ordningen skal bidra til å styrke verdiskaping, sysselsetting og næringsutvikling gjennom støtte til nyetableringer, videreutvikling av eksisterende virksomheter og prosjekter med regional betydning. Fondene finansieres av både fylkeskommunen og deltakende kommuner, og midlene tildeles etter søknad. På grunn av stram kommuneøkonomi har flere kommuner varslet kutt i kommunens finansieringsbidrag i 2026.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er etablert seks regionale fond som dekker hele fylket:</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Arendal, Grimstad og Froland</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Kristiansand, Lindesnes og Vennesla</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Lillesand, Birkenes og Iveland</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Østregionen (Tvedestrand, Risør, Gjerstad, Vegårshei og Åmli)</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Setesdal (Bykle, Valle, Bygland, Evje og Hornnes, Åseral)</w:t>
      </w:r>
    </w:p>
    <w:p w:rsidR="00A77B3E">
      <w:pPr>
        <w:numPr>
          <w:ilvl w:val="0"/>
          <w:numId w:val="4"/>
        </w:numPr>
        <w:spacing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Lister (Flekkefjord, Kvinesdal, Sirdal, Hægebostad, Lyngdal og Farsund)</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Fondene prioriterer prosjekter som fremmer innovasjon, energiomstilling, kompetanseheving, infrastruktur og omstilling til lavutslippssamfunnet. Støtten dekker normalt inntil 50 prosent av godkjente prosjektkostnader, og er forankret i både </w:t>
      </w:r>
      <w:r>
        <w:rPr>
          <w:rFonts w:ascii="Calibri" w:eastAsia="Calibri" w:hAnsi="Calibri" w:cs="Calibri"/>
          <w:b w:val="0"/>
          <w:i/>
          <w:iCs/>
          <w:color w:val="000000"/>
          <w:spacing w:val="0"/>
          <w:sz w:val="22"/>
          <w:u w:val="none"/>
        </w:rPr>
        <w:t>Regionplan Agder 2030</w:t>
      </w:r>
      <w:r>
        <w:rPr>
          <w:rFonts w:ascii="Calibri" w:eastAsia="Calibri" w:hAnsi="Calibri" w:cs="Calibri"/>
          <w:b w:val="0"/>
          <w:i w:val="0"/>
          <w:color w:val="000000"/>
          <w:spacing w:val="0"/>
          <w:sz w:val="22"/>
          <w:u w:val="none"/>
        </w:rPr>
        <w:t xml:space="preserve"> og lokale næringsstrategier.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I 2025 fordelte Agder fylkeskommune om lag 6,9 mill. kroner til de seks regionale næringsfondene. Det foreslås en reduksjon i rammen med 1 mill. kroner.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Ramme for 2026 foreslås til 5,9 mill. kroner.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Regionale kulturfond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Reduserte overføringer fra staten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Virkemiddelapparatet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Støtteordning for næringslivet.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Omstilling - Reduksjon i budsjett for Agder Kollektivtrafikk (AKT)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Fylkeskommunen må redusere kostnader til drift. For 2026 er det vedtak på at samferdsel skal kutte 20,7mill. kroner på drift, og for 2027 øker dette til 35,5 mill. kroner. Kollektivtransporten står for en</w:t>
      </w:r>
      <w:r>
        <w:rPr>
          <w:rFonts w:ascii="Calibri" w:eastAsia="Calibri" w:hAnsi="Calibri" w:cs="Calibri"/>
          <w:b w:val="0"/>
          <w:i w:val="0"/>
          <w:color w:val="000000"/>
          <w:spacing w:val="0"/>
          <w:sz w:val="22"/>
          <w:u w:val="none"/>
        </w:rPr>
        <w:t xml:space="preserve"> stor andel av samferdselsbudsjettet til fylkeskommunen og derfor er det nødvendig at AKT gjennomfører innsparingstiltak i denne størrelsesorden 10 mill. i 2026 (50 % av kuttet). Dette vil kunne bety at Kristiansandskontrakten må ligge på et lavere produksjonsnivå enn det</w:t>
      </w:r>
      <w:r>
        <w:rPr>
          <w:rFonts w:ascii="Calibri" w:eastAsia="Calibri" w:hAnsi="Calibri" w:cs="Calibri"/>
          <w:b w:val="0"/>
          <w:i w:val="0"/>
          <w:color w:val="000000"/>
          <w:spacing w:val="0"/>
          <w:sz w:val="22"/>
          <w:u w:val="none"/>
        </w:rPr>
        <w:t xml:space="preserve"> gjør i dag, dersom det ikke finnes andre alternativer på inntektssiden.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Forsterke utdanning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Reduksjon av omstillingskrav.</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Studiesenter distriktsutdanning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Statlig nedtrekk på 1,1 mill. kroner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Traktorsertifikat for elever på vg1 naturbruk</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Prøveprosjekt til opplæring på førerkort klasse T (traktorsertifikat) for elever på vg1 naturbruk skoleåret 26/27.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Investeringer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650" w:type="pct"/>
      </w:tblPr>
      <w:tblGrid>
        <w:gridCol w:w="1654"/>
        <w:gridCol w:w="1422"/>
        <w:gridCol w:w="717"/>
        <w:gridCol w:w="599"/>
        <w:gridCol w:w="553"/>
        <w:gridCol w:w="717"/>
        <w:gridCol w:w="599"/>
        <w:gridCol w:w="553"/>
        <w:gridCol w:w="717"/>
        <w:gridCol w:w="599"/>
        <w:gridCol w:w="553"/>
        <w:gridCol w:w="717"/>
        <w:gridCol w:w="599"/>
        <w:gridCol w:w="553"/>
      </w:tblGrid>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Investering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Godkjenningsvedtak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Utsette investering 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FV 460 Lindesnesveien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Finansiering og øvrige poster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-576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-153 116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-6 678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-154 595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-154 420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-14 495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-484 994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-77 134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-504 653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-488 116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-538 340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Finansiering og øvrige poster</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-868 500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-848 500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 sum endringer i investeringsbudsjettet</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FV 460 Lindesnesveien</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Midler til planlegging.</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Verbalforslag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Utdanning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sak vedrørende gratis skolelunsj ved våre videregående skoler i Agder i løpet av første halvår 2026.</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Utdanning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sak med formål om at fylkeskommunen blir deltaker i YAM-programmet (Youth aware of Mental Health) på våre videregående skoler. Dette er det eneste tilgjengelige forebyggingsprogrammet for å redusere selvmordstanker og selvmordsforebygging blant barn og unge fra 13 til 17 år. Fylkeskommunen går i dialog med kommunenne for å få dem til å følge opp aldersgruppen de har ansvar for.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Organisasjon</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sak vedrørende Fjæreheia og behovet for et bredt samarbeid mellom fylke og kommune om både finansiering, infrastruktur og innholdsproduksjon, i tråd med Hovedutvalget for næring, kultur og miljø sitt vedtak i februar 2025.</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Kollektiv</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fylkeskommune vil søke på den statlige ordningen omtalt i statsbudsjettet 2026 for reduksjon i billettprisen for periodebilletter i kollektivtrafikken</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Vedlegg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første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-3 556 248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-3 546 448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Inntekts- og formuesskatt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generelle driftsinntekter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generelle driftsinntekter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-5 940 241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-54 625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-5 930 441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5 440 744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81 196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5 521 940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5 334 326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5 421 422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5 325 565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5 404 661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5 327 070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5 406 166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netto driftsutgifter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5 937 132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81 196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6 018 328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5 863 154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5 950 250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5 886 144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5 965 240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5 912 746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5 991 842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Brutto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51 516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78 087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-12 662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32 471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19 809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10 328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24 471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34 799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36 930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24 471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61 401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Utbytter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Gevinster og tap på finansielle omløpsmidler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200 352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207 805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221 247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4 581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255 453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5 435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271 931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finansutgifter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330 965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1 341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332 306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352 601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8 608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361 209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381 615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9 789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391 404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Motpost 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-136 563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-109 992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-210 525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-176 713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-197 650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-164 571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-167 131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-132 871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-123 437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-144 937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-12 350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-42 869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136 563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109 992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210 525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176 713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197 650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164 571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167 131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132 871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Merforbruk/mindreforbruk</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Rammetilskudd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Økning i statsbudsjettet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Bruk av disposisjonsfond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Bruk av fylkestingets bufferfond.</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andre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Fylkeskommunedirektør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Felles inntekter og 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Analyse og 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Folkehelse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Organisasjon og 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411 546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424 092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409 146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421 692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407 546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420 092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409 146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12 546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421 692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Næring, plan og kultur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402 519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419 069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402 244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417 794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393 962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401 512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7 550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401 062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Regionplan 2030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Virksomhetsstyring og 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1 745 261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1 763 261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1 738 490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1 763 890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1 763 739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1 763 639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2 897 025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2 931 125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2 920 395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2 910 395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2 910 395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Herav: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Netto renteutgifter og -inntekter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5 440 744</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81 196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5 521 940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5 334 326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5 421 422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5 325 565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5 404 661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5 327 070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79 096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5 406 166</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første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790"/>
        <w:gridCol w:w="713"/>
        <w:gridCol w:w="643"/>
        <w:gridCol w:w="624"/>
        <w:gridCol w:w="713"/>
        <w:gridCol w:w="643"/>
        <w:gridCol w:w="624"/>
        <w:gridCol w:w="713"/>
        <w:gridCol w:w="643"/>
        <w:gridCol w:w="624"/>
        <w:gridCol w:w="713"/>
        <w:gridCol w:w="643"/>
        <w:gridCol w:w="624"/>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1 037 475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990 500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aksjer og andeler i selskaper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1 030 475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1 040 475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1 020 368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993 500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-576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-153 116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-6 678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-154 595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-154 420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fra andre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Salg av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-14 495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-484 994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-77 134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-504 653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-488 116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-538 340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-801 231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-822 815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-808 975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-837 760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 til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Mottatte avdrag på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utgifter videreutlån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33 812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-186 188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33 079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-156 921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34 260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-155 740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investeringsfond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5 071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-239 243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33 812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-197 553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33 079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-167 822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34 260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-155 740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Udekket/udisponert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andre ledd</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54"/>
        <w:gridCol w:w="713"/>
        <w:gridCol w:w="636"/>
        <w:gridCol w:w="615"/>
        <w:gridCol w:w="713"/>
        <w:gridCol w:w="636"/>
        <w:gridCol w:w="615"/>
        <w:gridCol w:w="713"/>
        <w:gridCol w:w="636"/>
        <w:gridCol w:w="615"/>
        <w:gridCol w:w="713"/>
        <w:gridCol w:w="636"/>
        <w:gridCol w:w="615"/>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Øvrige tiltak på fylkesveg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361 087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285 000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Prioritere barn og unge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 vare på det vi har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Bompengeprosjekter/ byvekstavtale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856 807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727 368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763 297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771 000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Infrastruktur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Utstyr- og utviklingsinvesteringer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andres 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616"/>
        <w:gridCol w:w="713"/>
        <w:gridCol w:w="660"/>
        <w:gridCol w:w="651"/>
        <w:gridCol w:w="713"/>
        <w:gridCol w:w="660"/>
        <w:gridCol w:w="651"/>
        <w:gridCol w:w="713"/>
        <w:gridCol w:w="660"/>
        <w:gridCol w:w="651"/>
        <w:gridCol w:w="713"/>
        <w:gridCol w:w="660"/>
        <w:gridCol w:w="65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 i aksjer og andeler i selskaper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14"/>
        <w:gridCol w:w="713"/>
        <w:gridCol w:w="640"/>
        <w:gridCol w:w="621"/>
        <w:gridCol w:w="713"/>
        <w:gridCol w:w="640"/>
        <w:gridCol w:w="621"/>
        <w:gridCol w:w="713"/>
        <w:gridCol w:w="640"/>
        <w:gridCol w:w="621"/>
        <w:gridCol w:w="713"/>
        <w:gridCol w:w="640"/>
        <w:gridCol w:w="62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Egenkapitalinnskudd KLP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pPr>
    </w:p>
    <w:sectPr>
      <w:type w:val="nextPage"/>
      <w:pgSz w:w="11906" w:h="16838" w:orient="portrait"/>
      <w:pgMar w:top="1440" w:right="1134" w:bottom="1440"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Side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PAGE</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r>
      <w:rPr>
        <w:rFonts w:ascii="Calibri" w:eastAsia="Calibri" w:hAnsi="Calibri" w:cs="Calibri"/>
        <w:b w:val="0"/>
        <w:i w:val="0"/>
        <w:color w:val="000000"/>
        <w:spacing w:val="0"/>
        <w:sz w:val="22"/>
        <w:u w:val="none"/>
      </w:rPr>
      <w:t xml:space="preserve"> av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NUMPAGES</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Budsjettforslag Arbeiderpartiet 2026-2029</w:t>
    </w:r>
  </w:p>
  <w:p>
    <w:pPr>
      <w:jc w:val="center"/>
      <w:rPr>
        <w:rFonts w:ascii="Calibri" w:eastAsia="Calibri" w:hAnsi="Calibri" w:cs="Calibri"/>
        <w:b w:val="0"/>
        <w:i w:val="0"/>
        <w:color w:val="000000"/>
        <w:spacing w:val="0"/>
        <w:sz w:val="22"/>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