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Budsjettforslag Rødt 2026-2029</w:t>
      </w:r>
    </w:p>
    <w:p w:rsidR="00A77B3E">
      <w:pPr>
        <w:pStyle w:val="Heading1"/>
        <w:spacing w:before="0" w:after="0"/>
        <w:jc w:val="left"/>
        <w:rPr>
          <w:rFonts w:ascii="Calibri" w:eastAsia="Calibri" w:hAnsi="Calibri" w:cs="Calibri"/>
          <w:b w:val="0"/>
          <w:i w:val="0"/>
          <w:color w:val="17365D"/>
          <w:spacing w:val="0"/>
          <w:sz w:val="52"/>
          <w:u w:val="none"/>
        </w:rPr>
      </w:pPr>
      <w:r>
        <w:rPr>
          <w:rFonts w:ascii="Calibri" w:eastAsia="Calibri" w:hAnsi="Calibri" w:cs="Calibri"/>
          <w:b w:val="0"/>
          <w:i w:val="0"/>
          <w:color w:val="17365D"/>
          <w:spacing w:val="0"/>
          <w:sz w:val="52"/>
          <w:u w:val="none"/>
        </w:rPr>
        <w:t>Agder fylkeskommune</w:t>
      </w:r>
    </w:p>
    <w:p w:rsidR="00A77B3E">
      <w:pPr>
        <w:pStyle w:val="Heading2"/>
        <w:spacing w:before="0" w:after="0"/>
        <w:jc w:val="left"/>
        <w:rPr>
          <w:rFonts w:ascii="Calibri" w:eastAsia="Calibri" w:hAnsi="Calibri" w:cs="Calibri"/>
          <w:b/>
          <w:i w:val="0"/>
          <w:color w:val="0070C0"/>
          <w:spacing w:val="0"/>
          <w:sz w:val="26"/>
          <w:u w:val="none"/>
        </w:rPr>
      </w:pPr>
      <w:r>
        <w:pict>
          <v:line id="_x0000_s1025" style="position:absolute;z-index:251658240" from="0,0" to="664.45pt,0"/>
        </w:pict>
      </w:r>
      <w:r>
        <w:rPr>
          <w:rFonts w:ascii="Calibri" w:eastAsia="Calibri" w:hAnsi="Calibri" w:cs="Calibri"/>
          <w:b w:val="0"/>
          <w:i w:val="0"/>
          <w:color w:val="000000"/>
          <w:spacing w:val="0"/>
          <w:sz w:val="22"/>
          <w:u w:val="none"/>
        </w:rPr>
        <w:br w:type="page"/>
      </w:r>
      <w:r>
        <w:rPr>
          <w:rFonts w:ascii="Calibri" w:eastAsia="Calibri" w:hAnsi="Calibri" w:cs="Calibri"/>
          <w:b/>
          <w:i w:val="0"/>
          <w:color w:val="0070C0"/>
          <w:spacing w:val="0"/>
          <w:sz w:val="26"/>
          <w:u w:val="none"/>
        </w:rPr>
        <w:t>Introduksjon</w:t>
      </w:r>
    </w:p>
    <w:p w:rsidR="00A77B3E">
      <w:pPr>
        <w:spacing w:before="0" w:after="0"/>
        <w:jc w:val="left"/>
        <w:rPr>
          <w:rFonts w:ascii="Calibri" w:eastAsia="Calibri" w:hAnsi="Calibri" w:cs="Calibri"/>
          <w:b w:val="0"/>
          <w:i w:val="0"/>
          <w:color w:val="000000"/>
          <w:spacing w:val="0"/>
          <w:sz w:val="22"/>
          <w:u w:val="none"/>
        </w:rPr>
      </w:pPr>
    </w:p>
    <w:p w:rsidR="00A77B3E">
      <w:pPr>
        <w:pStyle w:val="Heading2"/>
        <w:pBdr>
          <w:top w:val="none" w:sz="0" w:space="2" w:color="auto"/>
        </w:pBdr>
        <w:spacing w:before="0" w:after="93" w:afterAutospacing="1" w:line="484" w:lineRule="atLeast"/>
        <w:ind w:left="0"/>
        <w:jc w:val="left"/>
        <w:outlineLvl w:val="1"/>
        <w:rPr>
          <w:rFonts w:ascii="Calibri" w:eastAsia="Calibri" w:hAnsi="Calibri" w:cs="Calibri"/>
          <w:b/>
          <w:bCs/>
          <w:i w:val="0"/>
          <w:color w:val="4F81BD"/>
          <w:spacing w:val="0"/>
          <w:sz w:val="26"/>
          <w:szCs w:val="26"/>
          <w:u w:val="none"/>
        </w:rPr>
      </w:pPr>
      <w:r>
        <w:rPr>
          <w:rFonts w:ascii="Calibri" w:eastAsia="Calibri" w:hAnsi="Calibri" w:cs="Calibri"/>
          <w:b/>
          <w:bCs/>
          <w:i w:val="0"/>
          <w:color w:val="4F81BD"/>
          <w:spacing w:val="0"/>
          <w:sz w:val="26"/>
          <w:szCs w:val="26"/>
          <w:u w:val="none"/>
        </w:rPr>
        <w:t>Rødts alternative budsjett for Agder 2026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 legger fram et alternativt budsjett i balanse, med utgangspunkt i våre politiske prioriteringer.  Flertallet i fylkestinget står langt fra oss i mange saker som er viktige for folk og kommuner på Agder. Rødt har én av 49 representanter. Vi har valgt ikke å gå gjennom alle budsjettposter i detalj, men viser gjennom noen viktige eksempler at det er mulig å prioritere annerledes for å gi folk en bedre hverdag og å utvikle heile Agder. Vi vil kutte i politikergodtgjøringer og lederlønninger, og prioritere vanlige ansatte og deres arbeidsforhold og lønn. I høst viste NRK at over 100 ansatte i Agder fylkeskommune tjener mer enn en million. Rødt foreslår lønnfrys for direktørsjiktet og  at lønnsforhandlingene ellers tar utgangspunkt i kronetillegg så ikke forskjellene øker år for år. Og vi trenger å få en undersøkelse og evaluering av omstillingsprosessen til politisk behandling.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 vårt forslag vil vi styrke fylkeskommunenes viktige tjenester som kollektivtransport, videregående opplæring og tannhelse.  I samferdselspolitikken vil vi følge prioriteringene i handlingsprogrammet som er politisk vedtatt: “Ta vare på det vi har” og “Prioritere barn og unge”.  Da kan vi ikke starte stadig nye store, lånefinansierte veier som binder opp og snevrer inn fylkeskommunens økonomiske handlingsrom så det sparker bein for de lovpålagte tjenestene. </w:t>
      </w:r>
    </w:p>
    <w:p w:rsidR="00A77B3E">
      <w:pPr>
        <w:pStyle w:val="Heading3"/>
        <w:pBdr>
          <w:top w:val="none" w:sz="0" w:space="3" w:color="auto"/>
        </w:pBdr>
        <w:spacing w:before="0" w:after="228" w:afterAutospacing="1" w:line="298" w:lineRule="atLeast"/>
        <w:ind w:left="0"/>
        <w:jc w:val="left"/>
        <w:outlineLvl w:val="2"/>
        <w:rPr>
          <w:rFonts w:ascii="Calibri" w:eastAsia="Calibri" w:hAnsi="Calibri" w:cs="Calibri"/>
          <w:b/>
          <w:bCs/>
          <w:i w:val="0"/>
          <w:color w:val="4F81BD"/>
          <w:spacing w:val="0"/>
          <w:sz w:val="24"/>
          <w:szCs w:val="24"/>
          <w:u w:val="none"/>
        </w:rPr>
      </w:pPr>
      <w:r>
        <w:rPr>
          <w:rFonts w:ascii="Calibri" w:eastAsia="Calibri" w:hAnsi="Calibri" w:cs="Calibri"/>
          <w:b/>
          <w:bCs/>
          <w:i w:val="0"/>
          <w:color w:val="4F81BD"/>
          <w:spacing w:val="0"/>
          <w:sz w:val="24"/>
          <w:szCs w:val="24"/>
          <w:u w:val="none"/>
        </w:rPr>
        <w:t>Kollektivløft</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I budsjettforliket mellom de rødgrønne partiene på Stortinget er det satt av en kollektivmilliard til fylkeskommunene. Rødt bidro til dette fordi  det er nasjonal krise i finansiering av kollektivtilbudet.  Agders andel av milliarden er 54,6 mill. kroner. Pengene er ikke øremerka. Faren med dette er at det fins partier og flertall i noen fylker som ikke vil prioritere kollektivtilbudet. Rødt foreslår å bruke heile beløpet på kollektivsatsing.  På Agder trenger vi </w:t>
      </w:r>
      <w:r>
        <w:rPr>
          <w:rFonts w:ascii="Calibri" w:eastAsia="Calibri" w:hAnsi="Calibri" w:cs="Calibri"/>
          <w:b w:val="0"/>
          <w:i/>
          <w:iCs/>
          <w:color w:val="000000"/>
          <w:spacing w:val="0"/>
          <w:sz w:val="22"/>
          <w:u w:val="none"/>
        </w:rPr>
        <w:t xml:space="preserve">både </w:t>
      </w:r>
      <w:r>
        <w:rPr>
          <w:rFonts w:ascii="Calibri" w:eastAsia="Calibri" w:hAnsi="Calibri" w:cs="Calibri"/>
          <w:b w:val="0"/>
          <w:i w:val="0"/>
          <w:color w:val="000000"/>
          <w:spacing w:val="0"/>
          <w:sz w:val="22"/>
          <w:u w:val="none"/>
        </w:rPr>
        <w:t xml:space="preserve">bedre rutetilbud </w:t>
      </w:r>
      <w:r>
        <w:rPr>
          <w:rFonts w:ascii="Calibri" w:eastAsia="Calibri" w:hAnsi="Calibri" w:cs="Calibri"/>
          <w:b w:val="0"/>
          <w:i/>
          <w:iCs/>
          <w:color w:val="000000"/>
          <w:spacing w:val="0"/>
          <w:sz w:val="22"/>
          <w:u w:val="none"/>
        </w:rPr>
        <w:t xml:space="preserve">og </w:t>
      </w:r>
      <w:r>
        <w:rPr>
          <w:rFonts w:ascii="Calibri" w:eastAsia="Calibri" w:hAnsi="Calibri" w:cs="Calibri"/>
          <w:b w:val="0"/>
          <w:i w:val="0"/>
          <w:color w:val="000000"/>
          <w:spacing w:val="0"/>
          <w:sz w:val="22"/>
          <w:u w:val="none"/>
        </w:rPr>
        <w:t>et styrka bestillingstilbud (Svipp), der det ikke er trafikkgrunnlag for hyppige faste avganger. Vi må sikre at billettprisene ikke går opp, og billigere reisekort, særlig for unge. Det er også satt av en pott til søkbare midler for å redusere prisen på månedskort. Agder fylkeskommune må søke tilskudd fra denne. Rødt arbeider for at AKT AS skal tas tilbake til fylkeskommunen slik at ruteplanlegging, billettpriser, TT-ordning og ferjedrift ligger under direkte demokratisk styring. Rødt ønsker kollektivtilbud i egenregi, og at dette innføres, anbud for anbud. Første anledning er ved inngåing av ny avtale for Kristiansand/Vennesla fra 2028.</w:t>
      </w:r>
    </w:p>
    <w:p w:rsidR="00A77B3E">
      <w:pPr>
        <w:pStyle w:val="Heading3"/>
        <w:pBdr>
          <w:top w:val="none" w:sz="0" w:space="3" w:color="auto"/>
        </w:pBdr>
        <w:spacing w:before="0" w:after="228" w:afterAutospacing="1" w:line="298" w:lineRule="atLeast"/>
        <w:ind w:left="0"/>
        <w:jc w:val="left"/>
        <w:outlineLvl w:val="2"/>
        <w:rPr>
          <w:rFonts w:ascii="Calibri" w:eastAsia="Calibri" w:hAnsi="Calibri" w:cs="Calibri"/>
          <w:b/>
          <w:bCs/>
          <w:i w:val="0"/>
          <w:color w:val="4F81BD"/>
          <w:spacing w:val="0"/>
          <w:sz w:val="24"/>
          <w:szCs w:val="24"/>
          <w:u w:val="none"/>
        </w:rPr>
      </w:pPr>
      <w:r>
        <w:rPr>
          <w:rFonts w:ascii="Calibri" w:eastAsia="Calibri" w:hAnsi="Calibri" w:cs="Calibri"/>
          <w:b/>
          <w:bCs/>
          <w:i w:val="0"/>
          <w:color w:val="4F81BD"/>
          <w:spacing w:val="0"/>
          <w:sz w:val="24"/>
          <w:szCs w:val="24"/>
          <w:u w:val="none"/>
        </w:rPr>
        <w:t>Organisasjon og tannhelse</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 foreslår å redusere kostnadene til politikergodtgjøringer. Vi ønsker at ordførerlønna skal knyttes til folketrygden grunnbeløp og være 7 G  (911 120 kr.) i stedet for stortingsønn på drøyt 1,2 millioner. Dette nivået bør være utgangspunkt for å beregne de andre faste godtgjøringene.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Et annet satsingsområde i statsbudsjettet der Rødt har bidratt sterkt, er satsing på en ordentlig tannhelsereform. Nå  starter det nasjonale arbeidet for at tannhelse skal behandles som annen helse og  komme inn under egenandelsordningen. Da er det avgjørende at den offentlig tannhelsetjenesten (DOT) er tilgjengelig nær der folk bor, tar imot  lokale betalende pasienter.  Agder går nå baklengs inn i framtida med  den vedtatte, sterke sentraliseringa. Det må være offentlig tannlegevakt på fri- og helligdager. Agder har ikke en egen ressurs for Trygge barn i tannbehandling (TBit) slik Helsedirektoratet anbefaler. Rødt er mot å legge ned offentlige tannklinikker for så å sette ut de lovpålagte oppgavene til private tannleger. Vi har reagert sterkt på at  størstedelen av ekstratilskuddet til  DOT i statsbudsjett for 2025 ikke blei brukt til formålet.  Derfor tar Rødt et tilsvarende beløp fra disposisjonsfondet og bruker på tannhelse i 2026. Vi vil opprette  flere stillinger innen tannhelse, inkludert Tbit-ressurs og fortsatt drift av tannlegevakt. Vi vil investere i et ekstra behandlingsrom ved Byremo tannklinikk.</w:t>
      </w:r>
    </w:p>
    <w:p w:rsidR="00A77B3E">
      <w:pPr>
        <w:pStyle w:val="Heading3"/>
        <w:pBdr>
          <w:top w:val="none" w:sz="0" w:space="3" w:color="auto"/>
        </w:pBdr>
        <w:spacing w:before="0" w:after="228" w:afterAutospacing="1" w:line="298" w:lineRule="atLeast"/>
        <w:ind w:left="0"/>
        <w:jc w:val="left"/>
        <w:outlineLvl w:val="2"/>
        <w:rPr>
          <w:rFonts w:ascii="Calibri" w:eastAsia="Calibri" w:hAnsi="Calibri" w:cs="Calibri"/>
          <w:b/>
          <w:bCs/>
          <w:i w:val="0"/>
          <w:color w:val="4F81BD"/>
          <w:spacing w:val="0"/>
          <w:sz w:val="24"/>
          <w:szCs w:val="24"/>
          <w:u w:val="none"/>
        </w:rPr>
      </w:pPr>
      <w:r>
        <w:rPr>
          <w:rFonts w:ascii="Calibri" w:eastAsia="Calibri" w:hAnsi="Calibri" w:cs="Calibri"/>
          <w:b/>
          <w:bCs/>
          <w:i w:val="0"/>
          <w:color w:val="4F81BD"/>
          <w:spacing w:val="0"/>
          <w:sz w:val="24"/>
          <w:szCs w:val="24"/>
          <w:u w:val="none"/>
        </w:rPr>
        <w:t>Næring, plan og kultur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  er bekymra over at fylkeskommunen mister gode fagfolk gjennom pågående omstilling og effektivisering.  Kapasiteten til å utarbeide gode regionale kunnskapsgrunnlag og til å støtte og veilede kommuner og andre kan bli for liten, noe som kan gi økt konsulentbruk. Dette er spesielt viktig for distriktskommuner og andre små kommuner. Vi foreslår tre mill. ekstra til nye årsverk, og kutt i konsulentbruk.</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 støtter satsing på vår kraftforedlende industri, sirkulærøkonomi/ og reelt grønne næringer.  Men vi vil ikke at det skal brukes mer penger på havvind.  Det er uforsvarlig økonomisk, ikke tilstrekkelig utreda med tanke på natur. Og vindkraft er en energiform som krever balansekraft. Vi kutter et tilsvarende beløp som det som er brukt på havvindsatsing i 2025.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Fylkeskommunen skal ikke drifte tjenester som andre deler av forvaltningen er ansvarlig for å yte. Vår støtte må begrenses til prosjektstøtte  under oppstart og tilskudd etter søknad og tydelige, faste kriterier.  Og god kapasitet til å veilede de som søker midler til frivillige organisasjoner og folkehelsearbeid. Vi foreslår tre mill. ekstra til søkbar pott for frivilligheten.  Vi utfordrer også fylkeskommunedirektøren til å ta et initiativ, sammen med Husbanken med flere til et pilotprosjekt med rimelige utleiboliger.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 vil at fylkeskommunen skal bidra til reell likestilling, og inkludering av minoriteter på Agder. Vi vil videreføre støtte til Kvinnespranget og Likestilt arbeidsliv,  og sikre god veiledning til innvandrerstyrte organisasjoner.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Lister Kompetanse sørger for viktige desentraliserte studietilbud, og deres faste tilskudd må økes via midler fra statsbudsjettet.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 vil videreføre tiltaket sommerjobb for ungdom</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Kunnskap om Agders  rike historie og formidling om fortida er viktig for å gjøre gode valg for framtida. Det må satses på gode museer og formidlere. Rødt vil løfte fram to av de minste museene i vestfylket, i Mandal og på Tingvatn i Hægebostad, der det  er behov for noe mer bemanning for å unngå krise ved sykdom og ferier. Vi foreslår også å tildele 500 000 i støtte til De reisendes hus på Kokkenes i Lillesand, for å sikre at kulturen til Romanifolket/taterne på Agder ikke dør.</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Internasjonalt samarbeid og solidaritet er mer enn samarbeid med EU. Rødt mener det er råflott at Agder skal holde seg med et eget europakontor i Brussel. Vi vil trappe dette ned, og heller etablere vennskapsfylker i Palestina og Ukraina. </w:t>
      </w:r>
    </w:p>
    <w:p w:rsidR="00A77B3E">
      <w:pPr>
        <w:pStyle w:val="Heading3"/>
        <w:pBdr>
          <w:top w:val="none" w:sz="0" w:space="3" w:color="auto"/>
        </w:pBdr>
        <w:spacing w:before="0" w:after="228" w:afterAutospacing="1" w:line="298" w:lineRule="atLeast"/>
        <w:ind w:left="0"/>
        <w:jc w:val="left"/>
        <w:outlineLvl w:val="2"/>
        <w:rPr>
          <w:rFonts w:ascii="Calibri" w:eastAsia="Calibri" w:hAnsi="Calibri" w:cs="Calibri"/>
          <w:b/>
          <w:bCs/>
          <w:i w:val="0"/>
          <w:color w:val="4F81BD"/>
          <w:spacing w:val="0"/>
          <w:sz w:val="24"/>
          <w:szCs w:val="24"/>
          <w:u w:val="none"/>
        </w:rPr>
      </w:pPr>
      <w:r>
        <w:rPr>
          <w:rFonts w:ascii="Calibri" w:eastAsia="Calibri" w:hAnsi="Calibri" w:cs="Calibri"/>
          <w:b/>
          <w:bCs/>
          <w:i w:val="0"/>
          <w:color w:val="4F81BD"/>
          <w:spacing w:val="0"/>
          <w:sz w:val="24"/>
          <w:szCs w:val="24"/>
          <w:u w:val="none"/>
        </w:rPr>
        <w:t>Utdanning</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 vil stoppe kuttene i videregående opplæring. Ny opplæringslov gir fylkeskommunene nye viktige oppgaver uten at det følger ekstra midler med. Vi har like mange elever som før med ungdomsrett. Flere velger yrkesfag, noe som er dyrere, men også nødvendig for å sikre gode arbeidsfolk, både i offentlig og privat sektor. Samtidig ligger det an til flere voksne elever og flere elever med behov for tilrettelegging. I en situasjon der utfordringene med psykisk helse øker i ungdomskullene, må vi ikke kutte i skoletilbudet og laget rundt elevene.  Vi må ikke kutte mer i tilbudsstrukturen, og skolene må unntas fra det generelle effektiviseringskravet fra 2026. Vi må ruste opp skolebygg i distriktene og på flankene av fylket, som er blitt nedprioritert over år. Vi slår et slag for å ruste opp skolebyggene i Risør og Kvinesdal tidligere enn planlagt.</w:t>
      </w:r>
    </w:p>
    <w:p w:rsidR="00A77B3E">
      <w:pPr>
        <w:pStyle w:val="Heading3"/>
        <w:pBdr>
          <w:top w:val="none" w:sz="0" w:space="3" w:color="auto"/>
        </w:pBdr>
        <w:spacing w:before="0" w:after="228" w:afterAutospacing="1" w:line="298" w:lineRule="atLeast"/>
        <w:ind w:left="0"/>
        <w:jc w:val="left"/>
        <w:outlineLvl w:val="2"/>
        <w:rPr>
          <w:rFonts w:ascii="Calibri" w:eastAsia="Calibri" w:hAnsi="Calibri" w:cs="Calibri"/>
          <w:b/>
          <w:bCs/>
          <w:i w:val="0"/>
          <w:color w:val="4F81BD"/>
          <w:spacing w:val="0"/>
          <w:sz w:val="24"/>
          <w:szCs w:val="24"/>
          <w:u w:val="none"/>
        </w:rPr>
      </w:pPr>
      <w:r>
        <w:rPr>
          <w:rFonts w:ascii="Calibri" w:eastAsia="Calibri" w:hAnsi="Calibri" w:cs="Calibri"/>
          <w:b/>
          <w:bCs/>
          <w:i w:val="0"/>
          <w:color w:val="4F81BD"/>
          <w:spacing w:val="0"/>
          <w:sz w:val="24"/>
          <w:szCs w:val="24"/>
          <w:u w:val="none"/>
        </w:rPr>
        <w:t>Samferdsel</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 tillegg til kollektivtilbudet, prioriterer Rødt å følge det politisk vedtatte handlingsprogrammet til den regionale mobilitetsplanen: Ta vare på  de fylkesveiene vi allerede har, og gjøre dem trygge for barn og unge. Skoleveier og «hjertesoner» rundt skolene må ha topprioritet, sammen med området kritisk forfall. Vi styrker hvert av de to prioriterte områdene med 10 mill..</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 anerkjenner at det fins gode argumenter for å bygge industriveier både i Lindesnes og  Arendal.  Men det er dypt problematisk at fylkeskommunen nå bruker mer av midlene på slike veier enn på å ta vare på  det vi har. Det er også  problematisk at vi legger stadig nye naturområder under asfalt, uten å restaurere tilsvarende arealer. Å finansiere enda flere nye veier med større lån vil binde opp økonomien og skvise andre viktige tjenester i 30 år framover. Derfor vil Rødt i fylkestinget stoppe veiprosjekter utenom prioritert liste, nå. Når det gjelder ny Fv 475 fra Neskilen til Heftingdalen i Arendal, vil vi også peke på:</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Framtidsutsiktene til Morrow batterifabrikk er mer usikre enn før.</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Arendal kommune er i en kritisk situasjon økonomisk, og har ikke muligheter til å stå for 50 prosent av kostnadene til veien, som forutsatt.</w:t>
      </w:r>
    </w:p>
    <w:p w:rsidR="00A77B3E">
      <w:pPr>
        <w:numPr>
          <w:ilvl w:val="0"/>
          <w:numId w:val="1"/>
        </w:numPr>
        <w:spacing w:before="0" w:after="0" w:afterAutospacing="1"/>
        <w:ind w:left="720" w:hanging="36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En alvorlig habilitetssak som ikke er ferdig undersøkt, gjør at det hefter tvil ved prosessen fram til prioritering av veien.</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 foreslår også å stryke veiprosjektet Havsåsen i nordre Lyngdal kommune. Strekningen viste seg (undersøkelse 2019) å ikke være spesielt rasutsatt.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har  “lånt” SVs forslag om å stryke bevilgningen til den private flyplassen Gullknapp, for å få penger til andre samferdselsprosjekter. Skulle vi brukt penger på tiltak utenfor fylkeskommunens ansvarsområder,  måtte det handla om jernbanesatsing.</w:t>
      </w:r>
    </w:p>
    <w:p w:rsidR="00A77B3E">
      <w:pPr>
        <w:pStyle w:val="Heading3"/>
        <w:pBdr>
          <w:top w:val="none" w:sz="0" w:space="3" w:color="auto"/>
        </w:pBdr>
        <w:spacing w:before="0" w:after="228" w:afterAutospacing="1" w:line="298" w:lineRule="atLeast"/>
        <w:ind w:left="0"/>
        <w:jc w:val="left"/>
        <w:outlineLvl w:val="2"/>
        <w:rPr>
          <w:rFonts w:ascii="Calibri" w:eastAsia="Calibri" w:hAnsi="Calibri" w:cs="Calibri"/>
          <w:b/>
          <w:bCs/>
          <w:i w:val="0"/>
          <w:color w:val="4F81BD"/>
          <w:spacing w:val="0"/>
          <w:sz w:val="24"/>
          <w:szCs w:val="24"/>
          <w:u w:val="none"/>
        </w:rPr>
      </w:pPr>
      <w:r>
        <w:rPr>
          <w:rFonts w:ascii="Calibri" w:eastAsia="Calibri" w:hAnsi="Calibri" w:cs="Calibri"/>
          <w:b/>
          <w:bCs/>
          <w:i w:val="0"/>
          <w:color w:val="4F81BD"/>
          <w:spacing w:val="0"/>
          <w:sz w:val="24"/>
          <w:szCs w:val="24"/>
          <w:u w:val="none"/>
        </w:rPr>
        <w:t>Tiltak for natur og fornybar energi</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Rødts viktigste klimatiltak i dette budsjettet er kollektivsatsingen. Rødt leverer også verbalforslag om naturrestaurering, kjøp av eiendommer i strandsonen og energieffektivisering ved å satse på berg-/jordvarme i egne bygg.</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w:t>
      </w:r>
    </w:p>
    <w:p w:rsidR="00A77B3E">
      <w:pPr>
        <w:pStyle w:val="Heading3"/>
        <w:pBdr>
          <w:top w:val="none" w:sz="0" w:space="3" w:color="auto"/>
        </w:pBdr>
        <w:spacing w:before="0" w:after="228" w:afterAutospacing="1" w:line="298" w:lineRule="atLeast"/>
        <w:ind w:left="0"/>
        <w:jc w:val="left"/>
        <w:outlineLvl w:val="2"/>
        <w:rPr>
          <w:rFonts w:ascii="Calibri" w:eastAsia="Calibri" w:hAnsi="Calibri" w:cs="Calibri"/>
          <w:b/>
          <w:bCs/>
          <w:i w:val="0"/>
          <w:color w:val="4F81BD"/>
          <w:spacing w:val="0"/>
          <w:sz w:val="24"/>
          <w:szCs w:val="24"/>
          <w:u w:val="none"/>
        </w:rPr>
      </w:pPr>
      <w:r>
        <w:rPr>
          <w:rFonts w:ascii="Calibri" w:eastAsia="Calibri" w:hAnsi="Calibri" w:cs="Calibri"/>
          <w:b/>
          <w:bCs/>
          <w:i w:val="0"/>
          <w:color w:val="4F81BD"/>
          <w:spacing w:val="0"/>
          <w:sz w:val="24"/>
          <w:szCs w:val="24"/>
          <w:u w:val="none"/>
        </w:rPr>
        <w:t> </w:t>
      </w: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Tiltak i driftsbudsjettet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Fryse direktørlønn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Innsparing konsulentbruk OT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Innsparing ved kronetillegg til lønn over kr 900 000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Opprettholde Tannlegevakt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Redusert godtgjøring til politikere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Styrke tannhelsetjenesten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15 940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Økt inntekter på betalende pasienter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Organisasjon og tannhelse</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Forprosjekt leieboliger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Frivillige organisasjoner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Innsparing konsulentbruk NPK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Kutt i mobilisering av nye næringer havvind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-2 740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Kvinnespranget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Likestilt arbeidsliv</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 xml:space="preserve">Nedtrapping engasjement Foreningen Agder Europakontor </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-3 249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Nye vennskapsregioner i Palestina og Ukraina</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Sommerjobb for ungdom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 xml:space="preserve">Tilskudd til De reisendes hus </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Veiledning kommuner og frivillige organisasjoner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Økning tilskudd på Lister kompetanse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Økt tilskudd Tingvatn og Mandal museum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1 100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Næring, plan og kultur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10 060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9 660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9 660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9 411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9 411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9 411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9 411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Innsparing konsulentbruk VSE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Virksomhetsstyring og eiendom</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Innsparing konsulentbruk SAM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Kutte driftsstøtte til Gullknapp flystasjon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-7 687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Økt bevilgning til  AKT/kollektivsatsing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45 913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Politisk 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Ikke generelt effektiviseringskrav på 0,5 til de videregående skolene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Ingen ytterligere innsparing på tilbudsstruktur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Innsparing konsulentbruk 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Utdanning</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Sentrale poster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-3 556 223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200 128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204 457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-4 203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212 691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237 110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789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251 661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261 567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244 387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217 933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-2 432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187 568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8 168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198 168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-123 692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-145 392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-29 730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-51 430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-12 605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-34 305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-43 124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-64 824</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Sentrale poster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-2 964 371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-71 913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-3 036 284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-2 865 168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-77 513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-2 942 682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-2 859 778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-77 264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-2 937 042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-2 861 557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-77 264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-2 938 821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Totalsum endringer i driftsbudsjettet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headerReference w:type="default" r:id="rId4"/>
          <w:footerReference w:type="default" r:id="rId5"/>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Styrke tannhelsetjenesten</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Flere fagfolk i den offentlige tannhelsetjenesten.</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Frivillige organisasjoner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Styrke søkbar pott.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Tilskudd til De reisendes hus </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Støtte til De reisendes hus på Kokkenes i Lillesand</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Veiledning kommuner og frivillige organisasjoner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Ekstra årsverk for å sikre god veiledning til innen samfunn, plan og miljø, samt kultur/frivillighet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Økning tilskudd på Lister kompetanse</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Kapittel 553 post 60.</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Økt tilskudd Tingvatn og Mandal museum</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Økt tilskudd til museene på Tingvatn/Mandal for å få forsvarlige stillingsressurser.</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Kutte driftsstøtte til Gullknapp flystasjon</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Her følger Rødt SVs budsjettforslag. Med dagens situasjon innen samferdsel, kan fylkeskommunen ikke prioritere en privat flyplass</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Økt bevilgning til  AKT/kollektivsatsing</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Vi prioriterer økningen i frie midler fra budsjettforliket, slik intensjonen var: Kollektivsatsing. Bedre rutetilbud og styrka bestillingstilbud (Svipp), der det ikke er trafikkgrunnlag for hyppige faste avganger. Sikre at prisene ikke går opp, og billigere reisekort for unge. Det må tillegg søkes fra ekstra pott til reisekort for ungdom.</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Ikke generelt effektiviseringskrav på 0,5 til de videregående skolene</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Større ungdomskull de første årene og fullføringsreform som ikke er fullfinansiert tilsier at de videregående skolene fritas fra det generelle effektiviseringskravet på 0,5 prosent.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Ingen ytterligere innsparing på tilbudsstruktur</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Grunnet større ungdomskull, flere som søker yrkesfag og behov for god tilbudsstruktur i heile Agder må det ikke budsjetteres med innsparinger i tilbudsstrukturen utover det som allerede er vedtatti 2024 og 2025</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Investeringer med endringer</w:t>
      </w:r>
    </w:p>
    <w:p w:rsidR="00A77B3E">
      <w:pPr>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650" w:type="pct"/>
      </w:tblPr>
      <w:tblGrid>
        <w:gridCol w:w="1654"/>
        <w:gridCol w:w="1422"/>
        <w:gridCol w:w="717"/>
        <w:gridCol w:w="599"/>
        <w:gridCol w:w="553"/>
        <w:gridCol w:w="717"/>
        <w:gridCol w:w="599"/>
        <w:gridCol w:w="553"/>
        <w:gridCol w:w="717"/>
        <w:gridCol w:w="599"/>
        <w:gridCol w:w="553"/>
        <w:gridCol w:w="717"/>
        <w:gridCol w:w="599"/>
        <w:gridCol w:w="553"/>
      </w:tblGrid>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Investering</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Godkjenningsvedtak</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Programområde Trygg skoleveg og trafikksikkerhet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Programområde Kritisk forfall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Fv.460 Havsåsen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Fv. 475  Neskilen – Heftingdalen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502000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5 351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-5 351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532 000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65 351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14 649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125 000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277 000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345 000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-245 000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100 000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Eiendom</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Ekstra behandlingsrom Byremo tannklinikk</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Oppgradere skolebygg Risør</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Oppgradere skolebygg Kvinesdal</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Eiendom</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41 500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Finansiering og øvrige poster</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-149 929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-140 159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29 073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-129 347</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-9 227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-479 726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-6 555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-434 074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114 368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-356 669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182 595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-337 485</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-244 387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-217 933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2 432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-187 568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-8 168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-198 168</w:t>
            </w: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Finansiering og øvrige poster</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-863 039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-16 149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-879 188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-795 436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-801 936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-819 896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135 500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-684 396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-868 500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-665 000</w:t>
            </w:r>
          </w:p>
        </w:tc>
      </w:tr>
      <w:tr>
        <w:tblPrEx>
          <w:tblW w:w="565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4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65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Total sum endringer i investeringsbudsjettet</w:t>
            </w:r>
          </w:p>
        </w:tc>
        <w:tc>
          <w:tcPr>
            <w:tcW w:w="4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Programområde Trygg skoleveg og trafikksikkerhet</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4"/>
        <w:spacing w:before="0" w:after="0"/>
        <w:ind w:left="0"/>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Samlepost for mindre trafikksikkerhetstiltak, samt rekkverkstiltak, som vedtas av hovedutvalg for samferdsel og mobilitet i første møte hvert år. Tiltakene inkluderer blant annet etablering og fjerning av gangfelt og tilrettelagte krysningspunkt, intensivbelysning av krysningspunkt, forsterket belysning, justering av fartsgrenser, etablering av fartshumper og trafikkøyer, fjerning av sikt- og sidehindre, oppstramming av kryss, tiltak særlig rettet mot MC, forkjørsregulering og utskifting eller nyetablering av rekkverk.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Programområde Kritisk forfall</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Samlepost for små og mellomstore tiltak, basert på </w:t>
      </w:r>
      <w:r>
        <w:rPr>
          <w:rFonts w:ascii="Calibri" w:eastAsia="Calibri" w:hAnsi="Calibri" w:cs="Calibri"/>
          <w:b w:val="0"/>
          <w:i w:val="0"/>
          <w:color w:val="000000"/>
          <w:spacing w:val="0"/>
          <w:sz w:val="22"/>
          <w:u w:val="none"/>
          <w:shd w:val="clear" w:color="auto" w:fill="FFFFFF"/>
        </w:rPr>
        <w:t>kartlegging av kritisk forfall og generelt forfall på fylkesvegnettet. Dette inkluderer blant annet forsterkning av bruer, energieffektivisering, fornying av elektroinstallasjoner, murer og konstruksjoner, håndtering av bergskjæringer, enkle utbedringer for bedre drift og vedlikehold, samt FOU-prosjekter for mer systematisk vedlikehold. Tiltakene skal ivareta vegkapitalen og bidra til økt trafikksikkerhet og forutsigbar fremkommelighet på vegnettet. Midlene prioriteres årlig.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Fv.460 Havsåsen</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er utarbeidet reguleringsplan for omlegging av fv.460 forbi en rasutsatt strekning. Prosjektet ble vedtatt gjennomført av fylkestinget i juni 2023, sak 24/23, med ramme på 30 mill. kroner. Det ble vedtatt at Lyngdal kommune må dekke kostnader ut over denne rammen. </w:t>
      </w: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Ikke prioritert i handlingsprogram.</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Fv. 475  Neskilen – Heftingdalen</w:t>
      </w:r>
    </w:p>
    <w:p w:rsidR="00A77B3E">
      <w:pPr>
        <w:jc w:val="left"/>
        <w:rPr>
          <w:rFonts w:ascii="Calibri" w:eastAsia="Calibri" w:hAnsi="Calibri" w:cs="Calibri"/>
          <w:b w:val="0"/>
          <w:i w:val="0"/>
          <w:color w:val="000000"/>
          <w:spacing w:val="0"/>
          <w:sz w:val="22"/>
          <w:u w:val="none"/>
        </w:rPr>
      </w:pPr>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Tiltaksbeskrivelse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Forutsatt tilstrekkelig finansiering er det vedtatt å bygge ny veg mellom Neskilen og Heftingsdalen, mot E18 ved Longumkrysset.</w:t>
      </w:r>
      <w:r>
        <w:rPr>
          <w:rFonts w:ascii="Calibri" w:eastAsia="Calibri" w:hAnsi="Calibri" w:cs="Calibri"/>
          <w:b w:val="0"/>
          <w:i w:val="0"/>
          <w:color w:val="000000"/>
          <w:spacing w:val="0"/>
          <w:sz w:val="22"/>
          <w:u w:val="none"/>
        </w:rPr>
        <w:br/>
      </w:r>
      <w:r>
        <w:rPr>
          <w:rFonts w:ascii="Calibri" w:eastAsia="Calibri" w:hAnsi="Calibri" w:cs="Calibri"/>
          <w:b w:val="0"/>
          <w:i w:val="0"/>
          <w:color w:val="000000"/>
          <w:spacing w:val="0"/>
          <w:sz w:val="22"/>
          <w:u w:val="none"/>
        </w:rPr>
        <w:t>Vegen blir en forlengelse av den nye vegen mellom Neskilen og Arendal havn Eydehavn, og vil gå forbi arealet der Morrow Batteries skal bygge batterifabrikk. Arendal kommune er ansvarlig for å sikre tilstrekkelig finansiering av prosjektet.</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w:t>
      </w:r>
    </w:p>
    <w:p w:rsidR="00A77B3E">
      <w:pPr>
        <w:spacing w:afterAutospacing="1"/>
        <w:ind w:left="0"/>
        <w:jc w:val="left"/>
        <w:rPr>
          <w:rFonts w:ascii="Calibri" w:eastAsia="Calibri" w:hAnsi="Calibri" w:cs="Calibri"/>
          <w:b w:val="0"/>
          <w:i w:val="0"/>
          <w:color w:val="000000"/>
          <w:spacing w:val="0"/>
          <w:sz w:val="22"/>
          <w:u w:val="none"/>
        </w:rPr>
      </w:pPr>
      <w:hyperlink r:id="rId6" w:history="1">
        <w:r>
          <w:rPr>
            <w:rFonts w:ascii="Calibri" w:eastAsia="Calibri" w:hAnsi="Calibri" w:cs="Calibri"/>
            <w:b w:val="0"/>
            <w:i w:val="0"/>
            <w:color w:val="0000FF"/>
            <w:spacing w:val="0"/>
            <w:sz w:val="22"/>
            <w:u w:val="single"/>
          </w:rPr>
          <w:t>Lenke til prosjektside</w:t>
        </w:r>
      </w:hyperlink>
    </w:p>
    <w:p w:rsidR="00A77B3E">
      <w:pPr>
        <w:pStyle w:val="Heading4"/>
        <w:jc w:val="left"/>
        <w:rPr>
          <w:rFonts w:ascii="Calibri" w:eastAsia="Calibri" w:hAnsi="Calibri" w:cs="Calibri"/>
          <w:b/>
          <w:i w:val="0"/>
          <w:color w:val="000000"/>
          <w:spacing w:val="0"/>
          <w:sz w:val="24"/>
          <w:u w:val="none"/>
        </w:rPr>
      </w:pPr>
      <w:r>
        <w:rPr>
          <w:rFonts w:ascii="Calibri" w:eastAsia="Calibri" w:hAnsi="Calibri" w:cs="Calibri"/>
          <w:b/>
          <w:i w:val="0"/>
          <w:color w:val="000000"/>
          <w:spacing w:val="0"/>
          <w:sz w:val="24"/>
          <w:u w:val="none"/>
        </w:rPr>
        <w:t>Endringsbeskrivelse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Ref. sak.</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Verbalforslag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Pilotprosjekter for utleieboliger i en til tre kommuner</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 tråd med handlingsprogrammet til Regional plan for bolig, areal og transport i kristiansandsregionen, ber fylkestinget fylkeskommunedirektøren om å ta kontakt med Husbanken Sør, Statsforvalteren i Agder og aktuelle kommuner angående oppstart av pilotprosjekter med rimelige utleieboliger/leie til eie og alternative boformer i 1-3 kommuner. Det legges fram en sak for fylkestinget i løpet av 2026.</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Begrunnelse:</w:t>
      </w:r>
      <w:r>
        <w:rPr>
          <w:rFonts w:ascii="Calibri" w:eastAsia="Calibri" w:hAnsi="Calibri" w:cs="Calibri"/>
          <w:b w:val="0"/>
          <w:i w:val="0"/>
          <w:color w:val="000000"/>
          <w:spacing w:val="0"/>
          <w:sz w:val="22"/>
          <w:u w:val="none"/>
        </w:rPr>
        <w:t xml:space="preserve"> I et fylke med store levekårsproblemer er det spesielt viktig å tenke nytt i boligpolitikken og prøve ut tiltak som kan gjenreise av sosial boligpolitikk.</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Oppreising og likestilling for romanifolket/taterne</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fylkeskommunedirektøren om å utarbeide en sak som viser hvordan fylkeskommunen gjennom egne tjenester og andre tiltak kan arbeide for oppreisning og likestilling for den nasjonale minoriteten romanifolket/taterne på Agder. Arbeidet må skje i nært samarbeid med folkets egne organisasjoner. Et strakstiltak kan være å støtte prosjektet De reisendes hus på Kokkenes i Lillesand (jf. forslag om støtte på 500 000 i Rødts budsjettforslag).</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 xml:space="preserve">Begrunnelse: </w:t>
      </w:r>
      <w:r>
        <w:rPr>
          <w:rFonts w:ascii="Calibri" w:eastAsia="Calibri" w:hAnsi="Calibri" w:cs="Calibri"/>
          <w:b w:val="0"/>
          <w:i w:val="0"/>
          <w:color w:val="000000"/>
          <w:spacing w:val="0"/>
          <w:sz w:val="22"/>
          <w:u w:val="none"/>
        </w:rPr>
        <w:t>Vi viser til Rødts interpellasjon i fylkestinget i juni 2025, og positivt svar fra fylkesordføreren. Romanifolket/taterne er anerkjent som nasjonal minioritet, og har historisk hatt en viktig plass  i fylket. Det haster å få i gang systematisk regionalt arbeid fordi de båtreisendes kultur og språk er i ferd med å dø ut.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Evaluering av omstillingsprosessen i administrasjonen. </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fylkeskommunedirektøren presentere en undersøkelse/evaluering av omstillingen/nedbemanningen i administrasjonen, i løpet av våren 2026.</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Begrunnelse:</w:t>
      </w:r>
      <w:r>
        <w:rPr>
          <w:rFonts w:ascii="Calibri" w:eastAsia="Calibri" w:hAnsi="Calibri" w:cs="Calibri"/>
          <w:b w:val="0"/>
          <w:i w:val="0"/>
          <w:color w:val="000000"/>
          <w:spacing w:val="0"/>
          <w:sz w:val="22"/>
          <w:u w:val="none"/>
        </w:rPr>
        <w:t xml:space="preserve"> Rødt var enig i behovet for å kutte i antall direktørområder og å vurdere sammenslåing/omorganisering av enkelte avdelinger. Omstillingsprosessen har vært rask og effektiv, og nedbemanningen har vært betydelig. Nå er vi bekymra for at enkelte avdelinger er blitt for store, med for stort faglig spenn, og at dette kan gå utover kvaliteten på arbeidet og arbeidsmiljø/trivsel for mellomledere og rådgivere. Vi er særlig bekymra for at viktige ansvarsområder som folkehelse, regionalt analysearbeid (inkludert det viktige pionerarbeidet med areal-/naturregnskap) og kapasiteten til å veilede kommuner og andre samarbeidspartnere kan bli skadelidende.</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 AKT tilbake under direkte folkevalgt kontroll og bussdrift i egenregi </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fylkeskommunedirektøren om å ta initiativ til å utrede hva fylkeskommunen  og kollektivtjenestene  kan vinne på at AKT  tas tilbake til egen organisasjon så vi får direkte folkevalgt kontroll over de viktige tjenestene som AKT har ansvar for i dag.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Det utredes også hvordan kollektivtransporten kan drives i egenregi. Dette bør gjennomføres avtale for avtale, og starte med planlagt anskaffelse av busstjenester i Kristiansand og Vennesla fra 2028.</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Oppdrag for satsing på jord-/bergvarme i egne bygg. </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ønsker at det ved siden av solceller satses på jord-/bergvarme som en stabil energikilde i egne bygg. Det utredes hvor dette kan være aktuelt, det tas sikte på at aktuelle prosjekter legges inn i investeringsbudsjettet fra 2028.</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Vennskapsfylker i Palestina og Ukraina</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Fylkeskommunen ber om at fylkeskommunedirektøren utarbeider et forslag til å etablere nye vennskapsregioner i Palestina og Ukraina. </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 Palestina  kan guvernementet (tilsv. fylke) Tulkarem nordvest på Vestbredden være verd å vurdere.  I Ukraina er det flere oblaster (tilsv. fylker) som kan være aktuelle etter fire år med russisk angrepskrig.</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bCs/>
          <w:i w:val="0"/>
          <w:color w:val="000000"/>
          <w:spacing w:val="0"/>
          <w:sz w:val="22"/>
          <w:u w:val="none"/>
        </w:rPr>
        <w:t>Begrunnelse: </w:t>
      </w:r>
      <w:r>
        <w:rPr>
          <w:rFonts w:ascii="Calibri" w:eastAsia="Calibri" w:hAnsi="Calibri" w:cs="Calibri"/>
          <w:b w:val="0"/>
          <w:i w:val="0"/>
          <w:color w:val="000000"/>
          <w:spacing w:val="0"/>
          <w:sz w:val="22"/>
          <w:u w:val="none"/>
        </w:rPr>
        <w:t xml:space="preserve"> Fylkeskommunen har i en årrekke hatt fruktbare vennskapssamarbeid med regioner i baltiske land. Når dette samarbeidet nå er avvikla, kunne det være til gjensidig nytte å opprette samarbeid med nye regioner som virkelig trenger venner i vår tid.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Restaurering av natur, kartlegging/utredning </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ber fylkeskommunedirektøren ta initiativ til et forprosjekt for å kartlegge aktuelle områder som kan restaureres/tilbakeføre til natur med tanke på bedre karbonopptak og for å nå målene i naturavtalen.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 xml:space="preserve">Bevare gjennom å kjøpe </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I tråd med handlingsprogrammet til Regional plan for bolig, areal og transport i kristiansandsregionen og planen for fysisk aktive liv, ber fylkestinget fylkeskommunedirektøren om å se på mulighetene for å kjøpe eiendommer i strandsonen for å ivareta sammenhengende, offentlige friluftsområder. Det legges fram en sak i løpet av 2026, og punktet innarbeides i budsjettet fra 2027. </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Søknad om tilskudd til redusert pris på månedskort</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Fylkestinget viser til budsjettforliket der Stortinget ber regjeringen utrede, i dialog med fylkeskommunene, muligheten til å innføre et nasjonalt månedskort for kollektivtransport.</w:t>
      </w:r>
      <w:r>
        <w:rPr>
          <w:rFonts w:ascii="Calibri" w:eastAsia="Calibri" w:hAnsi="Calibri" w:cs="Calibri"/>
          <w:b w:val="0"/>
          <w:i w:val="0"/>
          <w:color w:val="000000"/>
          <w:spacing w:val="0"/>
          <w:sz w:val="22"/>
          <w:u w:val="none"/>
        </w:rPr>
        <w:br/>
      </w:r>
      <w:r>
        <w:rPr>
          <w:rFonts w:ascii="Calibri" w:eastAsia="Calibri" w:hAnsi="Calibri" w:cs="Calibri"/>
          <w:b w:val="0"/>
          <w:i w:val="0"/>
          <w:color w:val="000000"/>
          <w:spacing w:val="0"/>
          <w:sz w:val="22"/>
          <w:u w:val="none"/>
        </w:rPr>
        <w:t>I 2026 bevilges det, i påvente av utredningen, 620 millioner kroner til en midlertidig søknadsordning som fylkeskommunene kan søke på for å redusere prisen på periodebilletter til de reisende. Agder fylkeskommune må sammen med AKT utforme en god søknad om tilskudd til rimelige periodebilletter/månedskort.</w:t>
      </w: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br/>
      </w:r>
      <w:r>
        <w:rPr>
          <w:rFonts w:ascii="Calibri" w:eastAsia="Calibri" w:hAnsi="Calibri" w:cs="Calibri"/>
          <w:b w:val="0"/>
          <w:i w:val="0"/>
          <w:color w:val="000000"/>
          <w:spacing w:val="0"/>
          <w:sz w:val="22"/>
          <w:u w:val="none"/>
        </w:rPr>
        <w:br/>
      </w:r>
      <w:r>
        <w:rPr>
          <w:rFonts w:ascii="Calibri" w:eastAsia="Calibri" w:hAnsi="Calibri" w:cs="Calibri"/>
          <w:b w:val="0"/>
          <w:i w:val="0"/>
          <w:color w:val="000000"/>
          <w:spacing w:val="0"/>
          <w:sz w:val="22"/>
          <w:u w:val="none"/>
        </w:rPr>
        <w:t> </w:t>
      </w:r>
    </w:p>
    <w:p w:rsidR="00A77B3E">
      <w:pPr>
        <w:pStyle w:val="Heading2"/>
        <w:jc w:val="left"/>
        <w:rPr>
          <w:rFonts w:ascii="Calibri" w:eastAsia="Calibri" w:hAnsi="Calibri" w:cs="Calibri"/>
          <w:b/>
          <w:i w:val="0"/>
          <w:color w:val="0070C0"/>
          <w:spacing w:val="0"/>
          <w:sz w:val="26"/>
          <w:u w:val="none"/>
        </w:rPr>
      </w:pPr>
      <w:r>
        <w:rPr>
          <w:rFonts w:ascii="Calibri" w:eastAsia="Calibri" w:hAnsi="Calibri" w:cs="Calibri"/>
          <w:b/>
          <w:i w:val="0"/>
          <w:color w:val="0070C0"/>
          <w:spacing w:val="0"/>
          <w:sz w:val="26"/>
          <w:u w:val="none"/>
        </w:rPr>
        <w:t>Vedlegg</w:t>
      </w:r>
    </w:p>
    <w:p w:rsidR="00A77B3E">
      <w:pPr>
        <w:jc w:val="left"/>
        <w:rPr>
          <w:rFonts w:ascii="Calibri" w:eastAsia="Calibri" w:hAnsi="Calibri" w:cs="Calibri"/>
          <w:b w:val="0"/>
          <w:i w:val="0"/>
          <w:color w:val="000000"/>
          <w:spacing w:val="0"/>
          <w:sz w:val="22"/>
          <w:u w:val="none"/>
        </w:rPr>
      </w:pP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første ledd</w:t>
      </w:r>
    </w:p>
    <w:p w:rsidR="00A77B3E">
      <w:pPr>
        <w:jc w:val="left"/>
        <w:rPr>
          <w:rFonts w:ascii="Calibri" w:eastAsia="Calibri" w:hAnsi="Calibri" w:cs="Calibri"/>
          <w:b w:val="0"/>
          <w:i w:val="0"/>
          <w:color w:val="000000"/>
          <w:spacing w:val="0"/>
          <w:sz w:val="22"/>
          <w:u w:val="none"/>
        </w:rPr>
      </w:pPr>
    </w:p>
    <w:p w:rsidR="00A77B3E">
      <w:pPr>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Rammetilskudd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-3 501 623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-3 556 223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-3 546 423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-3 491 823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-54 600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-3 546 423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Inntekts- og formuesskatt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-2 318 852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Andre generelle driftsinntekter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-65 141</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generelle driftsinntekter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-5 885 616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-5 940 216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-5 930 416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-5 930 416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-5 875 816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-54 600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-5 930 416</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5 440 999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71 913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5 512 912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5 334 581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77 513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5 412 094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5 325 820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77 264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5 403 084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5 327 325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77 264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5 404 589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netto driftsutgifter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5 937 387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71 913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6 009 300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5 863 409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77 513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5 940 922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5 886 399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77 264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5 963 663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5 913 001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77 264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5 990 265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Brutto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51 771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17 313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69 084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-12 407</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22 913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10 506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10 583</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22 664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33 247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37 185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22 664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59 849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-107 635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-100 420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-97 049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-96 775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Utbytter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Gevinster og tap på finansielle omløpsmidler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Renteutgifter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199 971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199 736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200 128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203 778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204 457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216 894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-4 203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212 691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220 973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236 649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461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237 110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250 872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789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251 661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266 496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261 567</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finansutgifter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308 309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330 965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854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331 819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352 601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1 468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354 069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381 615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-9 132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372 483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Motpost avskrivninger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-496 388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-528 828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-560 579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-585 676</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-136 308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17 313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-118 995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-210 270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23 767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-186 503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-197 395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24 132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-173 263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-166 876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13 532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-153 344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244 387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217 933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-2 432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187 568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8 168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198 168</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-123 692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-145 392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-29 730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-51 430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-12 605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-34 305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-43 124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-64 824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Dekning av tidligere års merforbruk i driftsregnskapet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disponeringer eller dekning av netto driftsresultat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136 308</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-17 313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118 995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210 270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-23 767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186 503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197 395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-24 132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173 263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166 876</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-13 532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153 344</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Merforbruk/mindreforbruk</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Rammetilskudd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Budsjettforliket</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Bruk av disposisjonsfond</w:t>
      </w:r>
    </w:p>
    <w:p w:rsidR="00A77B3E">
      <w:pPr>
        <w:jc w:val="left"/>
        <w:rPr>
          <w:rFonts w:ascii="Calibri" w:eastAsia="Calibri" w:hAnsi="Calibri" w:cs="Calibri"/>
          <w:b w:val="0"/>
          <w:i w:val="0"/>
          <w:color w:val="000000"/>
          <w:spacing w:val="0"/>
          <w:sz w:val="22"/>
          <w:u w:val="none"/>
        </w:rPr>
      </w:pPr>
    </w:p>
    <w:p w:rsidR="00A77B3E">
      <w:pPr>
        <w:spacing w:afterAutospacing="1"/>
        <w:ind w:left="0"/>
        <w:jc w:val="left"/>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Tannhelse</w:t>
      </w:r>
    </w:p>
    <w:p w:rsidR="00A77B3E">
      <w:pPr>
        <w:pStyle w:val="Heading3"/>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drift etter § 5-4 andre ledd</w:t>
      </w:r>
    </w:p>
    <w:p w:rsidR="00A77B3E">
      <w:pPr>
        <w:jc w:val="left"/>
        <w:rPr>
          <w:rFonts w:ascii="Calibri" w:eastAsia="Calibri" w:hAnsi="Calibri" w:cs="Calibri"/>
          <w:b w:val="0"/>
          <w:i w:val="0"/>
          <w:color w:val="000000"/>
          <w:spacing w:val="0"/>
          <w:sz w:val="22"/>
          <w:u w:val="none"/>
        </w:rPr>
      </w:pPr>
    </w:p>
    <w:p w:rsidR="00A77B3E">
      <w:pPr>
        <w:jc w:val="left"/>
        <w:rPr>
          <w:rFonts w:ascii="Calibri" w:eastAsia="Calibri" w:hAnsi="Calibri" w:cs="Calibri"/>
          <w:b/>
          <w:i/>
          <w:color w:val="000000"/>
          <w:spacing w:val="0"/>
          <w:sz w:val="16"/>
          <w:u w:val="none"/>
        </w:rPr>
        <w:sectPr>
          <w:type w:val="nextPage"/>
          <w:pgSz w:w="11906" w:h="16838" w:orient="portrait"/>
          <w:pgMar w:top="1440" w:right="1134" w:bottom="1440" w:left="1417" w:header="720" w:footer="720" w:gutter="0"/>
          <w:cols w:space="720"/>
          <w:titlePg/>
          <w:docGrid w:linePitch="360"/>
        </w:sect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000" w:type="pct"/>
      </w:tblPr>
      <w:tblGrid>
        <w:gridCol w:w="2853"/>
        <w:gridCol w:w="999"/>
        <w:gridCol w:w="856"/>
        <w:gridCol w:w="999"/>
        <w:gridCol w:w="999"/>
        <w:gridCol w:w="856"/>
        <w:gridCol w:w="999"/>
        <w:gridCol w:w="999"/>
        <w:gridCol w:w="856"/>
        <w:gridCol w:w="999"/>
        <w:gridCol w:w="999"/>
        <w:gridCol w:w="856"/>
        <w:gridCol w:w="999"/>
      </w:tblGrid>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Fylkeskommunedirektør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2 975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Felles inntekter og utgifter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-446 956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-450 798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-423 278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-422 823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Analyse og plan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Folkehelse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Organisasjon og 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411 801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414 741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409 401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412 341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407 801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410 741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409 401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412 341</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Næring, plan og kultur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402 519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412 579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402 244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9 660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411 904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393 962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403 373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393 512</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402 923</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Utgått - Regionplan 2030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Virksomhetsstyring og 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344 374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343 374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345 474</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344 474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328 227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329 227</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328 227</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1 745 261</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45 913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1 791 174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1 738 490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45 913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1 784 403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1 738 339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45 913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1 784 252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1 738 239</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45 913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1 784 152</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Utdanning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2 897 025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2 911 025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2 886 795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2 906 795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2 896 795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2 876 795</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2 896 795</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Herav:</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Netto renteutgifter og -inntekter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til investering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driftsfond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Avsetninger til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disposisjonsfond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-84 000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0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Korrigert sum bevilgninger drift, netto</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5 440 999</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71 913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5 512 912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5 334 581</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77 513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5 412 094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5 325 820</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77 264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5 403 084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5 327 325</w:t>
            </w:r>
          </w:p>
        </w:tc>
        <w:tc>
          <w:tcPr>
            <w:tcW w:w="3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77 264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5 404 589</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sectPr>
          <w:type w:val="nextPage"/>
          <w:pgSz w:w="16838" w:h="11906" w:orient="landscape"/>
          <w:pgMar w:top="1440" w:right="1134" w:bottom="1440" w:left="1417" w:header="720" w:footer="720" w:gutter="0"/>
          <w:cols w:space="720"/>
          <w:titlePg/>
          <w:docGrid w:linePitch="360"/>
        </w:sect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første ledd</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790"/>
        <w:gridCol w:w="713"/>
        <w:gridCol w:w="643"/>
        <w:gridCol w:w="624"/>
        <w:gridCol w:w="713"/>
        <w:gridCol w:w="643"/>
        <w:gridCol w:w="624"/>
        <w:gridCol w:w="713"/>
        <w:gridCol w:w="643"/>
        <w:gridCol w:w="624"/>
        <w:gridCol w:w="713"/>
        <w:gridCol w:w="643"/>
        <w:gridCol w:w="624"/>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1 027 475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16 149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1 043 624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967 368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973 868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993 797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-135 500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858 297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1 010 500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-203 500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807 000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Investeringer i aksjer og andeler i selskaper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investeringsutgifter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1 030 475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16 149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1 046 624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970 368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976 868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996 797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-135 500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861 297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1 013 500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810 000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Kompensasjon for merverdiavgift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-152 540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-2 535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-155 075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-147 917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-149 929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-158 859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-140 159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-158 420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29 073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-129 347</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Tilskudd fra andre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-118 121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-112 567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-166 000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Salg av varige driftsmidler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-470 499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-9 227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-479 726</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-427 519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-6 555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-434 074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-471 037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114 368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-356 669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-520 080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182 595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-337 485</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investeringsinntekter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-786 160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-11 762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-797 922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-739 003</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-8 567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-747 570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-795 896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133 068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-662 828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-823 500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211 668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-611 832</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Avdrag på lån til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Mottatte avdrag på videreutlån</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-6 473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-6 229</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Netto utgifter videreutlån</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Overføring fra drift</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-244 387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2 067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-217 933</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2 432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-187 568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-8 168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-198 168</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Bruk av bundne investeringsfond</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-4 314</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-11 365</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-10 901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overføring fra drift og netto avsetninger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-244 314</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-4 387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-248 701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-231 365</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2 067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-229 298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-200 901</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2 432</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-198 469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-190 000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-8 168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-198 168</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Udekket/udisponert</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Bevilgningsoversikt investering etter § 5-5 andre ledd</w:t>
      </w:r>
    </w:p>
    <w:p w:rsidR="00A77B3E">
      <w:pPr>
        <w:spacing w:before="0" w:after="0"/>
        <w:ind w:left="0"/>
        <w:jc w:val="left"/>
        <w:rPr>
          <w:rFonts w:ascii="Calibri" w:eastAsia="Calibri" w:hAnsi="Calibri" w:cs="Calibri"/>
          <w:b w:val="0"/>
          <w:i w:val="0"/>
          <w:color w:val="000000"/>
          <w:spacing w:val="0"/>
          <w:sz w:val="22"/>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54"/>
        <w:gridCol w:w="713"/>
        <w:gridCol w:w="636"/>
        <w:gridCol w:w="615"/>
        <w:gridCol w:w="713"/>
        <w:gridCol w:w="636"/>
        <w:gridCol w:w="615"/>
        <w:gridCol w:w="713"/>
        <w:gridCol w:w="636"/>
        <w:gridCol w:w="615"/>
        <w:gridCol w:w="713"/>
        <w:gridCol w:w="636"/>
        <w:gridCol w:w="615"/>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Samferdsel</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Øvrige tiltak på fylkesveg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434 412</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-5 351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429 061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311 087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276 087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-197 000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273 000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-265 000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8 000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Prioritere barn og unge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144 958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134 870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139 500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165 000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 vare på det vi har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137 427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137 000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121 000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131 000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173 000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Bompengeprosjekter/ byvekstavtale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150 010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164 411</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227 797</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200 000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Samferdsel</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846 807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14 649</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861 456</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727 368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-15 000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712 368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783 297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606 297</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791 000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-245 000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546 000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Eiendom</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Tannhelse</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71 500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61 500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Skolebygg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90 968</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20 000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152 000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119 000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159 000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138 000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40 000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178 000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Infrastruktur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56 700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35 000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18 500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Eiendom</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177 668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179 168</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237 000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258 500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207 500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249 000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216 500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41 500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258 000</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Utstyr- og utviklingsinvesteringer</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Utstyr- og utviklingsinvesteringer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Tilskudd til andres investeringer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616"/>
        <w:gridCol w:w="713"/>
        <w:gridCol w:w="660"/>
        <w:gridCol w:w="651"/>
        <w:gridCol w:w="713"/>
        <w:gridCol w:w="660"/>
        <w:gridCol w:w="651"/>
        <w:gridCol w:w="713"/>
        <w:gridCol w:w="660"/>
        <w:gridCol w:w="651"/>
        <w:gridCol w:w="713"/>
        <w:gridCol w:w="660"/>
        <w:gridCol w:w="65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bl>
    <w:p w:rsidR="00A77B3E">
      <w:pPr>
        <w:spacing w:before="0" w:after="0"/>
        <w:ind w:left="0"/>
        <w:jc w:val="left"/>
        <w:rPr>
          <w:rFonts w:ascii="Calibri" w:eastAsia="Calibri" w:hAnsi="Calibri" w:cs="Calibri"/>
          <w:b w:val="0"/>
          <w:i/>
          <w:color w:val="000000"/>
          <w:spacing w:val="0"/>
          <w:sz w:val="16"/>
          <w:u w:val="none"/>
        </w:rPr>
      </w:pPr>
    </w:p>
    <w:p w:rsidR="00A77B3E">
      <w:pPr>
        <w:pStyle w:val="Heading3"/>
        <w:spacing w:before="0" w:after="0"/>
        <w:ind w:left="0"/>
        <w:jc w:val="left"/>
        <w:rPr>
          <w:rFonts w:ascii="Calibri" w:eastAsia="Calibri" w:hAnsi="Calibri" w:cs="Calibri"/>
          <w:b/>
          <w:i w:val="0"/>
          <w:color w:val="4F81BD"/>
          <w:spacing w:val="0"/>
          <w:sz w:val="24"/>
          <w:u w:val="none"/>
        </w:rPr>
      </w:pPr>
      <w:r>
        <w:rPr>
          <w:rFonts w:ascii="Calibri" w:eastAsia="Calibri" w:hAnsi="Calibri" w:cs="Calibri"/>
          <w:b/>
          <w:i w:val="0"/>
          <w:color w:val="4F81BD"/>
          <w:spacing w:val="0"/>
          <w:sz w:val="24"/>
          <w:u w:val="none"/>
        </w:rPr>
        <w:t>Investeringer i aksjer og andeler i selskaper</w:t>
      </w:r>
    </w:p>
    <w:p w:rsidR="00A77B3E">
      <w:pPr>
        <w:spacing w:before="0" w:after="0"/>
        <w:ind w:left="0"/>
        <w:jc w:val="left"/>
        <w:rPr>
          <w:rFonts w:ascii="Calibri" w:eastAsia="Calibri" w:hAnsi="Calibri" w:cs="Calibri"/>
          <w:b w:val="0"/>
          <w:i w:val="0"/>
          <w:color w:val="000000"/>
          <w:spacing w:val="0"/>
          <w:sz w:val="22"/>
          <w:u w:val="none"/>
        </w:rPr>
      </w:pPr>
    </w:p>
    <w:p w:rsidR="00A77B3E">
      <w:pPr>
        <w:spacing w:before="0" w:after="0"/>
        <w:ind w:left="0"/>
        <w:jc w:val="left"/>
        <w:rPr>
          <w:rFonts w:ascii="Calibri" w:eastAsia="Calibri" w:hAnsi="Calibri" w:cs="Calibri"/>
          <w:b w:val="0"/>
          <w:i/>
          <w:color w:val="000000"/>
          <w:spacing w:val="0"/>
          <w:sz w:val="16"/>
          <w:u w:val="none"/>
        </w:rPr>
      </w:pPr>
      <w:r>
        <w:rPr>
          <w:rFonts w:ascii="Calibri" w:eastAsia="Calibri" w:hAnsi="Calibri" w:cs="Calibri"/>
          <w:b w:val="0"/>
          <w:i/>
          <w:color w:val="000000"/>
          <w:spacing w:val="0"/>
          <w:sz w:val="16"/>
          <w:u w:val="none"/>
        </w:rPr>
        <w:t>Beløp i 1000</w:t>
      </w:r>
    </w:p>
    <w:tbl>
      <w:tblPr>
        <w:tblStyle w:val="GridTable1Light"/>
        <w:tblW w:w="5200" w:type="pct"/>
      </w:tblPr>
      <w:tblGrid>
        <w:gridCol w:w="1814"/>
        <w:gridCol w:w="713"/>
        <w:gridCol w:w="640"/>
        <w:gridCol w:w="621"/>
        <w:gridCol w:w="713"/>
        <w:gridCol w:w="640"/>
        <w:gridCol w:w="621"/>
        <w:gridCol w:w="713"/>
        <w:gridCol w:w="640"/>
        <w:gridCol w:w="621"/>
        <w:gridCol w:w="713"/>
        <w:gridCol w:w="640"/>
        <w:gridCol w:w="621"/>
      </w:tblGrid>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2026</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2027</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2028</w:t>
            </w:r>
          </w:p>
        </w:tc>
        <w:tc>
          <w:tcPr>
            <w:tcW w:w="350" w:type="pct"/>
            <w:gridSpan w:val="3"/>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center"/>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2029</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70C0"/>
                <w:spacing w:val="0"/>
                <w:sz w:val="16"/>
                <w:u w:val="none"/>
              </w:rPr>
            </w:pP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Innstilling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Endring</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70C0"/>
                <w:spacing w:val="0"/>
                <w:sz w:val="16"/>
                <w:u w:val="none"/>
              </w:rPr>
            </w:pPr>
            <w:r>
              <w:rPr>
                <w:rFonts w:ascii="Calibri" w:eastAsia="Calibri" w:hAnsi="Calibri" w:cs="Calibri"/>
                <w:b/>
                <w:i w:val="0"/>
                <w:color w:val="0070C0"/>
                <w:spacing w:val="0"/>
                <w:sz w:val="16"/>
                <w:u w:val="none"/>
              </w:rPr>
              <w:t>Mitt forslag</w:t>
            </w:r>
          </w:p>
        </w:tc>
      </w:tr>
      <w:tr>
        <w:tblPrEx>
          <w:tblW w:w="5200" w:type="pct"/>
        </w:tblPrEx>
        <w:tc>
          <w:tcPr>
            <w:tcW w:w="100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Egenkapitalinnskudd KLP</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0</w:t>
            </w:r>
          </w:p>
        </w:tc>
        <w:tc>
          <w:tcPr>
            <w:tcW w:w="350" w:type="pct"/>
            <w:tcBorders>
              <w:top w:val="none" w:sz="0" w:space="0" w:color="000000"/>
              <w:left w:val="none" w:sz="0" w:space="0" w:color="000000"/>
              <w:bottom w:val="none" w:sz="0"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val="0"/>
                <w:i w:val="0"/>
                <w:color w:val="000000"/>
                <w:spacing w:val="0"/>
                <w:sz w:val="18"/>
                <w:u w:val="none"/>
              </w:rPr>
            </w:pPr>
            <w:r>
              <w:rPr>
                <w:rFonts w:ascii="Calibri" w:eastAsia="Calibri" w:hAnsi="Calibri" w:cs="Calibri"/>
                <w:b w:val="0"/>
                <w:i w:val="0"/>
                <w:color w:val="000000"/>
                <w:spacing w:val="0"/>
                <w:sz w:val="18"/>
                <w:u w:val="none"/>
              </w:rPr>
              <w:t>3 000</w:t>
            </w:r>
          </w:p>
        </w:tc>
      </w:tr>
      <w:tr>
        <w:tblPrEx>
          <w:tblW w:w="5200" w:type="pct"/>
        </w:tblPrEx>
        <w:tc>
          <w:tcPr>
            <w:tcW w:w="100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lef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Sum Investeringer</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0</w:t>
            </w:r>
          </w:p>
        </w:tc>
        <w:tc>
          <w:tcPr>
            <w:tcW w:w="350" w:type="pct"/>
            <w:tcBorders>
              <w:top w:val="single" w:sz="8" w:space="0" w:color="000000"/>
              <w:left w:val="none" w:sz="0" w:space="0" w:color="000000"/>
              <w:bottom w:val="single" w:sz="8" w:space="0" w:color="000000"/>
              <w:right w:val="none" w:sz="0" w:space="0" w:color="000000"/>
              <w:tl2br w:val="none" w:sz="0" w:space="0" w:color="auto"/>
              <w:tr2bl w:val="none" w:sz="0" w:space="0" w:color="auto"/>
            </w:tcBorders>
            <w:shd w:val="clear" w:color="auto" w:fill="FFFFFF"/>
            <w:noWrap w:val="0"/>
            <w:tcMar>
              <w:left w:w="0" w:type="dxa"/>
              <w:right w:w="60" w:type="dxa"/>
            </w:tcMar>
          </w:tcPr>
          <w:p w:rsidR="00A77B3E">
            <w:pPr>
              <w:spacing w:before="0" w:after="0"/>
              <w:ind w:left="0"/>
              <w:jc w:val="right"/>
              <w:rPr>
                <w:rFonts w:ascii="Calibri" w:eastAsia="Calibri" w:hAnsi="Calibri" w:cs="Calibri"/>
                <w:b/>
                <w:i w:val="0"/>
                <w:color w:val="000000"/>
                <w:spacing w:val="0"/>
                <w:sz w:val="16"/>
                <w:u w:val="none"/>
              </w:rPr>
            </w:pPr>
            <w:r>
              <w:rPr>
                <w:rFonts w:ascii="Calibri" w:eastAsia="Calibri" w:hAnsi="Calibri" w:cs="Calibri"/>
                <w:b/>
                <w:i w:val="0"/>
                <w:color w:val="000000"/>
                <w:spacing w:val="0"/>
                <w:sz w:val="16"/>
                <w:u w:val="none"/>
              </w:rPr>
              <w:t>3 000</w:t>
            </w:r>
          </w:p>
        </w:tc>
      </w:tr>
    </w:tbl>
    <w:p w:rsidR="00A77B3E">
      <w:pPr>
        <w:spacing w:before="0" w:after="0"/>
        <w:ind w:left="0"/>
        <w:jc w:val="left"/>
        <w:rPr>
          <w:rFonts w:ascii="Calibri" w:eastAsia="Calibri" w:hAnsi="Calibri" w:cs="Calibri"/>
          <w:b w:val="0"/>
          <w:i/>
          <w:color w:val="000000"/>
          <w:spacing w:val="0"/>
          <w:sz w:val="16"/>
          <w:u w:val="none"/>
        </w:rPr>
      </w:pPr>
    </w:p>
    <w:p w:rsidR="00A77B3E">
      <w:pPr>
        <w:spacing w:before="0" w:after="0"/>
        <w:ind w:left="0"/>
        <w:jc w:val="left"/>
        <w:rPr>
          <w:rFonts w:ascii="Calibri" w:eastAsia="Calibri" w:hAnsi="Calibri" w:cs="Calibri"/>
          <w:b w:val="0"/>
          <w:i/>
          <w:color w:val="000000"/>
          <w:spacing w:val="0"/>
          <w:sz w:val="16"/>
          <w:u w:val="none"/>
        </w:rPr>
      </w:pPr>
    </w:p>
    <w:sectPr>
      <w:type w:val="nextPage"/>
      <w:pgSz w:w="11906" w:h="16838" w:orient="portrait"/>
      <w:pgMar w:top="1440" w:right="1134" w:bottom="1440"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 xml:space="preserve">Side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PAGE</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r>
      <w:rPr>
        <w:rFonts w:ascii="Calibri" w:eastAsia="Calibri" w:hAnsi="Calibri" w:cs="Calibri"/>
        <w:b w:val="0"/>
        <w:i w:val="0"/>
        <w:color w:val="000000"/>
        <w:spacing w:val="0"/>
        <w:sz w:val="22"/>
        <w:u w:val="none"/>
      </w:rPr>
      <w:t xml:space="preserve"> av </w:t>
    </w:r>
    <w:r>
      <w:rPr>
        <w:rFonts w:ascii="Calibri" w:eastAsia="Calibri" w:hAnsi="Calibri" w:cs="Calibri"/>
        <w:b w:val="0"/>
        <w:i w:val="0"/>
        <w:color w:val="000000"/>
        <w:spacing w:val="0"/>
        <w:sz w:val="22"/>
        <w:u w:val="none"/>
      </w:rPr>
      <w:fldChar w:fldCharType="begin"/>
    </w:r>
    <w:r>
      <w:rPr>
        <w:rFonts w:ascii="Calibri" w:eastAsia="Calibri" w:hAnsi="Calibri" w:cs="Calibri"/>
        <w:b w:val="0"/>
        <w:i w:val="0"/>
        <w:color w:val="000000"/>
        <w:spacing w:val="0"/>
        <w:sz w:val="22"/>
        <w:u w:val="none"/>
      </w:rPr>
      <w:instrText>NUMPAGES</w:instrText>
    </w:r>
    <w:r>
      <w:rPr>
        <w:rFonts w:ascii="Calibri" w:eastAsia="Calibri" w:hAnsi="Calibri" w:cs="Calibri"/>
        <w:b w:val="0"/>
        <w:i w:val="0"/>
        <w:color w:val="000000"/>
        <w:spacing w:val="0"/>
        <w:sz w:val="22"/>
        <w:u w:val="none"/>
      </w:rPr>
      <w:fldChar w:fldCharType="separate"/>
    </w:r>
    <w:r>
      <w:rPr>
        <w:rFonts w:ascii="Calibri" w:eastAsia="Calibri" w:hAnsi="Calibri" w:cs="Calibri"/>
        <w:b w:val="0"/>
        <w:i w:val="0"/>
        <w:color w:val="000000"/>
        <w:spacing w:val="0"/>
        <w:sz w:val="22"/>
        <w:u w:val="none"/>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rFonts w:ascii="Calibri" w:eastAsia="Calibri" w:hAnsi="Calibri" w:cs="Calibri"/>
        <w:b w:val="0"/>
        <w:i w:val="0"/>
        <w:color w:val="000000"/>
        <w:spacing w:val="0"/>
        <w:sz w:val="22"/>
        <w:u w:val="none"/>
      </w:rPr>
    </w:pPr>
    <w:r>
      <w:rPr>
        <w:rFonts w:ascii="Calibri" w:eastAsia="Calibri" w:hAnsi="Calibri" w:cs="Calibri"/>
        <w:b w:val="0"/>
        <w:i w:val="0"/>
        <w:color w:val="000000"/>
        <w:spacing w:val="0"/>
        <w:sz w:val="22"/>
        <w:u w:val="none"/>
      </w:rPr>
      <w:t>Budsjettforslag Rødt 2026-2029</w:t>
    </w:r>
  </w:p>
  <w:p>
    <w:pPr>
      <w:jc w:val="center"/>
      <w:rPr>
        <w:rFonts w:ascii="Calibri" w:eastAsia="Calibri" w:hAnsi="Calibri" w:cs="Calibri"/>
        <w:b w:val="0"/>
        <w:i w:val="0"/>
        <w:color w:val="000000"/>
        <w:spacing w:val="0"/>
        <w:sz w:val="22"/>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GridTable1Light">
    <w:name w:val="Grid Table 1 Light"/>
    <w:basedOn w:val="TableNormal"/>
    <w:uiPriority w:val="46"/>
    <w:rsid w:val="00253C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https://agderfk.no/vare-tjenester/samferdsel/fylkesveg/vegprosjekter/fv-475-neskilen-heftingsdalen/"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