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8.0 -->
  <w:body>
    <w:p w:rsidR="00A77B3E">
      <w:pPr>
        <w:pStyle w:val="Heading1"/>
        <w:spacing w:before="0" w:after="0"/>
        <w:jc w:val="left"/>
        <w:rPr>
          <w:rFonts w:ascii="Calibri" w:eastAsia="Calibri" w:hAnsi="Calibri" w:cs="Calibri"/>
          <w:b w:val="0"/>
          <w:i w:val="0"/>
          <w:color w:val="17365D"/>
          <w:spacing w:val="0"/>
          <w:sz w:val="52"/>
          <w:u w:val="none"/>
        </w:rPr>
      </w:pPr>
      <w:r>
        <w:rPr>
          <w:rFonts w:ascii="Calibri" w:eastAsia="Calibri" w:hAnsi="Calibri" w:cs="Calibri"/>
          <w:b w:val="0"/>
          <w:i w:val="0"/>
          <w:color w:val="17365D"/>
          <w:spacing w:val="0"/>
          <w:sz w:val="52"/>
          <w:u w:val="none"/>
        </w:rPr>
        <w:t>Bamble FrP 2026-2029</w:t>
      </w:r>
    </w:p>
    <w:p w:rsidR="00A77B3E">
      <w:pPr>
        <w:pStyle w:val="Heading1"/>
        <w:spacing w:before="0" w:after="0"/>
        <w:jc w:val="left"/>
        <w:rPr>
          <w:rFonts w:ascii="Calibri" w:eastAsia="Calibri" w:hAnsi="Calibri" w:cs="Calibri"/>
          <w:b w:val="0"/>
          <w:i w:val="0"/>
          <w:color w:val="17365D"/>
          <w:spacing w:val="0"/>
          <w:sz w:val="52"/>
          <w:u w:val="none"/>
        </w:rPr>
      </w:pPr>
      <w:r>
        <w:rPr>
          <w:rFonts w:ascii="Calibri" w:eastAsia="Calibri" w:hAnsi="Calibri" w:cs="Calibri"/>
          <w:b w:val="0"/>
          <w:i w:val="0"/>
          <w:color w:val="17365D"/>
          <w:spacing w:val="0"/>
          <w:sz w:val="52"/>
          <w:u w:val="none"/>
        </w:rPr>
        <w:t>Bamble</w:t>
      </w:r>
    </w:p>
    <w:p w:rsidR="00A77B3E">
      <w:pPr>
        <w:pStyle w:val="Heading2"/>
        <w:spacing w:before="0" w:after="0"/>
        <w:jc w:val="left"/>
        <w:rPr>
          <w:rFonts w:ascii="Calibri" w:eastAsia="Calibri" w:hAnsi="Calibri" w:cs="Calibri"/>
          <w:b/>
          <w:i w:val="0"/>
          <w:color w:val="0070C0"/>
          <w:spacing w:val="0"/>
          <w:sz w:val="26"/>
          <w:u w:val="none"/>
        </w:rPr>
      </w:pPr>
      <w:r>
        <w:pict>
          <v:line id="_x0000_s1025" style="position:absolute;z-index:251658240" from="0,0" to="664.45pt,0"/>
        </w:pict>
      </w: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br w:type="page"/>
      </w:r>
      <w:r>
        <w:rPr>
          <w:rFonts w:ascii="Calibri" w:eastAsia="Calibri" w:hAnsi="Calibri" w:cs="Calibri"/>
          <w:b/>
          <w:i w:val="0"/>
          <w:color w:val="0070C0"/>
          <w:spacing w:val="0"/>
          <w:sz w:val="26"/>
          <w:u w:val="none"/>
        </w:rPr>
        <w:t>Tiltak i driftsbudsjettet med endringer</w:t>
      </w:r>
    </w:p>
    <w:p w:rsidR="00A77B3E">
      <w:pPr>
        <w:spacing w:before="0" w:after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</w:pPr>
      <w:r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  <w:t>Beløp i 1000</w:t>
      </w:r>
    </w:p>
    <w:tbl>
      <w:tblPr>
        <w:tblStyle w:val="GridTable1Light"/>
        <w:tblW w:w="5000" w:type="pct"/>
      </w:tblPr>
      <w:tblGrid>
        <w:gridCol w:w="2853"/>
        <w:gridCol w:w="999"/>
        <w:gridCol w:w="856"/>
        <w:gridCol w:w="999"/>
        <w:gridCol w:w="999"/>
        <w:gridCol w:w="856"/>
        <w:gridCol w:w="999"/>
        <w:gridCol w:w="999"/>
        <w:gridCol w:w="856"/>
        <w:gridCol w:w="999"/>
        <w:gridCol w:w="999"/>
        <w:gridCol w:w="856"/>
        <w:gridCol w:w="999"/>
      </w:tblGrid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2026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2027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2028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2029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Endringer i tiltak sist vedtatte økonomiplan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Driftsmidler til nye områder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Innsparingstiltak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Kostnadsreduksjoner Samferdsel 2027-2028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-4 000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-4 000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-5 700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-6 200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-1 000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Sum Samfunn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100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-4 100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-4 000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-400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-5 800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-6 200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-900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-900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-1 000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Endringer i tiltak sist vedtatte økonomiplan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Reduksjon i elevtallet i kommunen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-2 403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2 403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-3 398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-3 398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-3 048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-3 048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-5 115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-5 115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Innsparingstiltak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Kostnadsreduksjoner C. Voksenopplæring 2025-2027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-2 133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-4 133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-3 700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-5 700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-3 700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-4 700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-3 700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-4 700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Innsparingstiltiltak Barnehage Alternativ 1: 4 uker sommerstengt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-1 400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-700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-1 400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-700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-1 400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-700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-1 400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-700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Kostnadsreduksjoner H. Barn, unge, idrett og kulturbygg 2025-2027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-1 133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597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-536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-1 700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630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-1 070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-1 700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630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-1 070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-1 700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630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-1 070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Sum Oppvekst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-7 069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1 700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-5 369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-10 198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-670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-10 868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-9 848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330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-9 518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-11 915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330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-11 585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Innsparingstiltak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Kostnadsreduksjoner F. Sosialtjenestene 2025-2027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-7 052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-8 052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-11 919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-12 919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-14 600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-15 600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-14 600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-15 600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Kostnadsreduksjoner C. Voksenopplæring 2025-2027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-2 232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-3 232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-3 799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-4 799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-4 700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-5 700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-4 700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-5 700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Endre middagsleveranser til hjemmeboende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Nye tiltak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Økte kostnader tjenestebiler hjemmetjenesten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2 560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2 560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2 560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2 560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2 560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2 560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2 560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2 560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Sum Velferd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-10 284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1 560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-8 724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-16 718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1 560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-15 158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-20 300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1 560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-18 740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-20 300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1 560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-18 740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Innsparingstiltak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 xml:space="preserve"> Kostnadsreduksjoner Kirke, innsparinger 2026 tom 2028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-700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-700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-1 400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-700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-2 100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-1 400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-2 100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-1 400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Sum Kommunedirektør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-700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-700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-1 400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700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-700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-2 100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700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-1 400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-2 100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700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-1 400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Innsparingstiltak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Stillingsstopp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-6 000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-14 000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Politiske vedtak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Rentenedgang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-3 500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Sum Finansiering og sentrale poster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-1 000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-8 500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-9 500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-1 000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-13 500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-14 500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-1 000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-15 500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-16 500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-1 000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-16 500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-17 500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Sentrale poster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Rammetilskudd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-565 560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-7 700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-573 260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-572 381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-8 690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-581 071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-574 992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-8 690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-583 682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-576 529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-8 690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-585 219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Inntekts- og formuesskatt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-589 077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-589 077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-590 675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-591 675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-592 022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-593 022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-593 168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-594 168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Eiendomsskatt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-87 704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20 500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-67 204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-88 350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20 500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-67 850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-89 173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20 500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-68 673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-89 595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20 500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-69 095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Utbytter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-23 413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-3 359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-26 772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-15 800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-15 800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-15 800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-15 800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-15 800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-15 800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Renteutgifter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96 906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96 906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98 095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-492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97 603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104 335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-696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103 639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123 354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-896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122 458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Avdrag på lån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69 661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69 661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68 808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-363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68 445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68 129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-530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67 599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68 234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-697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67 537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Avsetninger til disposisjonsfond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3 500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21 847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7 755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29 602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66 957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3 426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70 383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89 519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4 793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94 312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Bruk av disposisjonsfond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-20 977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-101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-21 078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Sum Sentrale poster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-1 116 665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9 340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-1 107 324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-1 078 456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17 710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-1 060 746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-1 032 566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13 010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-1 019 556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-993 985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14 010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-979 975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Totalsum endringer i driftsbudsjettet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</w:t>
            </w:r>
          </w:p>
        </w:tc>
      </w:tr>
    </w:tbl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</w:pP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  <w:sectPr>
          <w:headerReference w:type="default" r:id="rId4"/>
          <w:footerReference w:type="default" r:id="rId5"/>
          <w:pgSz w:w="16838" w:h="11906" w:orient="landscape"/>
          <w:pgMar w:top="1440" w:right="1134" w:bottom="1440" w:left="1417" w:header="720" w:footer="720" w:gutter="0"/>
          <w:cols w:space="720"/>
          <w:titlePg/>
          <w:docGrid w:linePitch="360"/>
        </w:sectPr>
      </w:pPr>
    </w:p>
    <w:p w:rsidR="00A77B3E">
      <w:pPr>
        <w:pStyle w:val="Heading3"/>
        <w:spacing w:before="0" w:after="0"/>
        <w:ind w:left="0"/>
        <w:jc w:val="left"/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  <w:t>Driftsmidler til nye områder</w:t>
      </w: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pStyle w:val="Heading4"/>
        <w:spacing w:before="0" w:after="0"/>
        <w:ind w:left="0"/>
        <w:jc w:val="left"/>
        <w:rPr>
          <w:rFonts w:ascii="Calibri" w:eastAsia="Calibri" w:hAnsi="Calibri" w:cs="Calibri"/>
          <w:b/>
          <w:i w:val="0"/>
          <w:color w:val="000000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000000"/>
          <w:spacing w:val="0"/>
          <w:sz w:val="24"/>
          <w:u w:val="none"/>
        </w:rPr>
        <w:t>Tiltaksbeskrivelse</w:t>
      </w: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spacing w:before="0" w:after="0"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Det ble lagt inn midler i økonomiplan 2024-27 for å styrke rammen til Kommunalteknikk for å dekke økte driftskostnader ifm overtakelse av nye områder som Rådhusplassen på Stathelle, Stokkevannet barnehage, Bunestoppen, Grasmyr Nord og Langrønningen industri- og næringsområde. Det ble lagt inn 265 000 kroner i 2024, 290 000 kroner fra 2025 og 390 000 kroner fra 2026 og utover. Endringen fra 2025 til 2026 er på 100 000 kroner.</w:t>
      </w:r>
    </w:p>
    <w:p w:rsidR="00A77B3E">
      <w:pPr>
        <w:pStyle w:val="Heading4"/>
        <w:jc w:val="left"/>
        <w:rPr>
          <w:rFonts w:ascii="Calibri" w:eastAsia="Calibri" w:hAnsi="Calibri" w:cs="Calibri"/>
          <w:b/>
          <w:i w:val="0"/>
          <w:color w:val="000000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000000"/>
          <w:spacing w:val="0"/>
          <w:sz w:val="24"/>
          <w:u w:val="none"/>
        </w:rPr>
        <w:t>Endringsbeskrivelse</w:t>
      </w:r>
    </w:p>
    <w:p w:rsidR="00A77B3E">
      <w:pPr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spacing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Dette bør tas av allerede vedtatte bevilgninger. Vi ønsker fortgang i prosessen med å få solgt disse, og vi er overrasket over at ikke dette er fullført allerede.</w:t>
      </w:r>
    </w:p>
    <w:p w:rsidR="00A77B3E">
      <w:pPr>
        <w:pStyle w:val="Heading3"/>
        <w:jc w:val="left"/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  <w:t>Kostnadsreduksjoner Samferdsel 2027-2028</w:t>
      </w:r>
    </w:p>
    <w:p w:rsidR="00A77B3E">
      <w:pPr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pStyle w:val="Heading4"/>
        <w:jc w:val="left"/>
        <w:rPr>
          <w:rFonts w:ascii="Calibri" w:eastAsia="Calibri" w:hAnsi="Calibri" w:cs="Calibri"/>
          <w:b/>
          <w:i w:val="0"/>
          <w:color w:val="000000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000000"/>
          <w:spacing w:val="0"/>
          <w:sz w:val="24"/>
          <w:u w:val="none"/>
        </w:rPr>
        <w:t>Tiltaksbeskrivelse</w:t>
      </w:r>
    </w:p>
    <w:p w:rsidR="00A77B3E">
      <w:pPr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spacing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Bamble kommune har betydelig høyere netto driftsutgifter til samferdsel enn sammenlignbare kommuner. I 2024 var utgiftene 2 253 kroner per innbygger, mot 1 576 kroner i KOSTRA-gruppe 7. Dette tilsvarer et merforbruk på nær 30 prosent og et teoretisk innsparingspotensial på 9,7 millioner kroner.</w:t>
      </w:r>
    </w:p>
    <w:p w:rsidR="00A77B3E">
      <w:pPr>
        <w:spacing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Nivået er høyt både for kommunale veier og transporttiltak, og står ikke i forhold til kommunens økonomiske bæreevne. For å sikre balanse og nødvendig handlingsrom i økonomiplanen må utgiftene bringes nærmere gjennomsnittet for sammenlignbare kommuner.</w:t>
      </w:r>
    </w:p>
    <w:p w:rsidR="00A77B3E">
      <w:pPr>
        <w:pStyle w:val="Heading4"/>
        <w:jc w:val="left"/>
        <w:rPr>
          <w:rFonts w:ascii="Calibri" w:eastAsia="Calibri" w:hAnsi="Calibri" w:cs="Calibri"/>
          <w:b/>
          <w:i w:val="0"/>
          <w:color w:val="000000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000000"/>
          <w:spacing w:val="0"/>
          <w:sz w:val="24"/>
          <w:u w:val="none"/>
        </w:rPr>
        <w:t>Endringsbeskrivelse</w:t>
      </w:r>
    </w:p>
    <w:p w:rsidR="00A77B3E">
      <w:pPr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spacing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Når teoretisk innsparingspotensiale er 9,7 mill, mener vi at dette er en målsetting vi må nå i løpet av de 2 første årene.</w:t>
      </w:r>
    </w:p>
    <w:p w:rsidR="00A77B3E">
      <w:pPr>
        <w:pStyle w:val="Heading3"/>
        <w:jc w:val="left"/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  <w:t>Reduksjon i elevtallet i kommunen</w:t>
      </w:r>
    </w:p>
    <w:p w:rsidR="00A77B3E">
      <w:pPr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pStyle w:val="Heading4"/>
        <w:jc w:val="left"/>
        <w:rPr>
          <w:rFonts w:ascii="Calibri" w:eastAsia="Calibri" w:hAnsi="Calibri" w:cs="Calibri"/>
          <w:b/>
          <w:i w:val="0"/>
          <w:color w:val="000000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000000"/>
          <w:spacing w:val="0"/>
          <w:sz w:val="24"/>
          <w:u w:val="none"/>
        </w:rPr>
        <w:t>Tiltaksbeskrivelse</w:t>
      </w:r>
    </w:p>
    <w:p w:rsidR="00A77B3E">
      <w:pPr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spacing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Rammen for kommunalområde Oppvekst blir hvert år korrigert for elevtallsreduksjonen. Siden skoleåret ikke er likt budsjettåret, brukes elevtallsdataene fra GSI-rapporteringen pr 01.10 for å beregne trekket for neste skoleår. Det vil si at reduksjonen i elevtall på 27 elever for skoleåret 2025/26 først vil få effekt for skoleåret 2026/27. Reduksjonen totalt for 2026 utgjør 2,4 mill kroner, 1,4 mill. kroner for våren (reduksjon 27 elever, GSI 01.10.24) og 1,1 mill kroner for høsten (reduksjon 27 elever, GSI 01.10.25). Endringene i elevtall for resten av handlingsprogramperioden hentes fra SSBs befolkningsfremskrivning.</w:t>
      </w:r>
    </w:p>
    <w:p w:rsidR="00A77B3E">
      <w:pPr>
        <w:spacing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 xml:space="preserve">Elevtallet fortsetter å gå ned, og endringene i demografien gjør at budsjettrammene til skolene blir redusert med 2,4 millioner i 2026 med en videre reduksjon utover i perioden. Skolene i Bamble vil ikke klare å drifte i henhold til loven med dagens skolestruktur. I fjorårets budsjett ble både Rønholt og Herre skole fådelte, men til tross for dette klarer vi likevel ikke å møte de økonomiske utfordringene nedgangen i elevtall medfører for skolene samlet. </w:t>
      </w:r>
    </w:p>
    <w:p w:rsidR="00A77B3E">
      <w:pPr>
        <w:spacing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Fremskrivning av elevtall frem til 2030 viser følgende:</w:t>
      </w:r>
    </w:p>
    <w:tbl>
      <w:tblPr>
        <w:tblStyle w:val="table"/>
        <w:tblW w:w="12485" w:type="dxa"/>
        <w:jc w:val="center"/>
        <w:tblCellSpacing w:w="15" w:type="dxa"/>
        <w:tblInd w:w="22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12455"/>
      </w:tblGrid>
      <w:tr>
        <w:tblPrEx>
          <w:tblW w:w="12485" w:type="dxa"/>
          <w:jc w:val="center"/>
          <w:tblCellSpacing w:w="15" w:type="dxa"/>
          <w:tblInd w:w="22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CellSpacing w:w="15" w:type="dxa"/>
          <w:jc w:val="center"/>
        </w:trPr>
        <w:tc>
          <w:tcPr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Style w:val="tabletable"/>
              <w:tblW w:w="5000" w:type="pct"/>
              <w:tblBorders>
                <w:top w:val="double" w:sz="2" w:space="0" w:color="B3B3B3"/>
                <w:left w:val="double" w:sz="2" w:space="0" w:color="B3B3B3"/>
                <w:bottom w:val="double" w:sz="2" w:space="0" w:color="B3B3B3"/>
                <w:right w:val="double" w:sz="2" w:space="0" w:color="B3B3B3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/>
            </w:tblPr>
            <w:tblGrid>
              <w:gridCol w:w="1601"/>
              <w:gridCol w:w="1445"/>
              <w:gridCol w:w="1097"/>
              <w:gridCol w:w="1283"/>
              <w:gridCol w:w="1386"/>
              <w:gridCol w:w="1295"/>
              <w:gridCol w:w="1551"/>
              <w:gridCol w:w="1676"/>
              <w:gridCol w:w="1092"/>
            </w:tblGrid>
            <w:tr>
              <w:tblPrEx>
                <w:tblW w:w="5000" w:type="pct"/>
                <w:tblBorders>
                  <w:top w:val="double" w:sz="2" w:space="0" w:color="B3B3B3"/>
                  <w:left w:val="double" w:sz="2" w:space="0" w:color="B3B3B3"/>
                  <w:bottom w:val="double" w:sz="2" w:space="0" w:color="B3B3B3"/>
                  <w:right w:val="double" w:sz="2" w:space="0" w:color="B3B3B3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rHeight w:val="290"/>
                <w:tblHeader/>
              </w:trPr>
              <w:tc>
                <w:tcPr>
                  <w:tcW w:w="2047" w:type="dxa"/>
                  <w:tcBorders>
                    <w:bottom w:val="single" w:sz="6" w:space="0" w:color="BFBFBF"/>
                    <w:right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center"/>
                    <w:rPr>
                      <w:rFonts w:ascii="Calibri" w:eastAsia="Calibri" w:hAnsi="Calibri" w:cs="Calibri"/>
                      <w:b/>
                      <w:bCs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i w:val="0"/>
                      <w:color w:val="000000"/>
                      <w:spacing w:val="0"/>
                      <w:sz w:val="22"/>
                      <w:u w:val="none"/>
                    </w:rPr>
                    <w:t>År</w:t>
                  </w:r>
                </w:p>
              </w:tc>
              <w:tc>
                <w:tcPr>
                  <w:tcW w:w="2047" w:type="dxa"/>
                  <w:tcBorders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center"/>
                    <w:rPr>
                      <w:rFonts w:ascii="Calibri" w:eastAsia="Calibri" w:hAnsi="Calibri" w:cs="Calibri"/>
                      <w:b/>
                      <w:bCs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i w:val="0"/>
                      <w:color w:val="000000"/>
                      <w:spacing w:val="0"/>
                      <w:sz w:val="22"/>
                      <w:u w:val="none"/>
                    </w:rPr>
                    <w:t>Rønholt</w:t>
                  </w:r>
                </w:p>
              </w:tc>
              <w:tc>
                <w:tcPr>
                  <w:tcW w:w="1467" w:type="dxa"/>
                  <w:tcBorders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center"/>
                    <w:rPr>
                      <w:rFonts w:ascii="Calibri" w:eastAsia="Calibri" w:hAnsi="Calibri" w:cs="Calibri"/>
                      <w:b/>
                      <w:bCs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i w:val="0"/>
                      <w:color w:val="000000"/>
                      <w:spacing w:val="0"/>
                      <w:sz w:val="22"/>
                      <w:u w:val="none"/>
                    </w:rPr>
                    <w:t>Herre</w:t>
                  </w:r>
                </w:p>
              </w:tc>
              <w:tc>
                <w:tcPr>
                  <w:tcW w:w="1467" w:type="dxa"/>
                  <w:tcBorders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center"/>
                    <w:rPr>
                      <w:rFonts w:ascii="Calibri" w:eastAsia="Calibri" w:hAnsi="Calibri" w:cs="Calibri"/>
                      <w:b/>
                      <w:bCs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i w:val="0"/>
                      <w:color w:val="000000"/>
                      <w:spacing w:val="0"/>
                      <w:sz w:val="22"/>
                      <w:u w:val="none"/>
                    </w:rPr>
                    <w:t>Stathelle</w:t>
                  </w:r>
                </w:p>
              </w:tc>
              <w:tc>
                <w:tcPr>
                  <w:tcW w:w="1467" w:type="dxa"/>
                  <w:tcBorders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center"/>
                    <w:rPr>
                      <w:rFonts w:ascii="Calibri" w:eastAsia="Calibri" w:hAnsi="Calibri" w:cs="Calibri"/>
                      <w:b/>
                      <w:bCs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i w:val="0"/>
                      <w:color w:val="000000"/>
                      <w:spacing w:val="0"/>
                      <w:sz w:val="22"/>
                      <w:u w:val="none"/>
                    </w:rPr>
                    <w:t>Langesund</w:t>
                  </w:r>
                </w:p>
              </w:tc>
              <w:tc>
                <w:tcPr>
                  <w:tcW w:w="1467" w:type="dxa"/>
                  <w:tcBorders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center"/>
                    <w:rPr>
                      <w:rFonts w:ascii="Calibri" w:eastAsia="Calibri" w:hAnsi="Calibri" w:cs="Calibri"/>
                      <w:b/>
                      <w:bCs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i w:val="0"/>
                      <w:color w:val="000000"/>
                      <w:spacing w:val="0"/>
                      <w:sz w:val="22"/>
                      <w:u w:val="none"/>
                    </w:rPr>
                    <w:t>Rugtvedt</w:t>
                  </w:r>
                </w:p>
              </w:tc>
              <w:tc>
                <w:tcPr>
                  <w:tcW w:w="1467" w:type="dxa"/>
                  <w:tcBorders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center"/>
                    <w:rPr>
                      <w:rFonts w:ascii="Calibri" w:eastAsia="Calibri" w:hAnsi="Calibri" w:cs="Calibri"/>
                      <w:b/>
                      <w:bCs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i w:val="0"/>
                      <w:color w:val="000000"/>
                      <w:spacing w:val="0"/>
                      <w:sz w:val="22"/>
                      <w:u w:val="none"/>
                    </w:rPr>
                    <w:t>barneskolene</w:t>
                  </w:r>
                </w:p>
              </w:tc>
              <w:tc>
                <w:tcPr>
                  <w:tcW w:w="1467" w:type="dxa"/>
                  <w:tcBorders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center"/>
                    <w:rPr>
                      <w:rFonts w:ascii="Calibri" w:eastAsia="Calibri" w:hAnsi="Calibri" w:cs="Calibri"/>
                      <w:b/>
                      <w:bCs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i w:val="0"/>
                      <w:color w:val="000000"/>
                      <w:spacing w:val="0"/>
                      <w:sz w:val="22"/>
                      <w:u w:val="none"/>
                    </w:rPr>
                    <w:t>ungdomsskolen</w:t>
                  </w:r>
                </w:p>
              </w:tc>
              <w:tc>
                <w:tcPr>
                  <w:tcW w:w="1467" w:type="dxa"/>
                  <w:tcBorders>
                    <w:left w:val="single" w:sz="6" w:space="0" w:color="BFBFBF"/>
                    <w:bottom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center"/>
                    <w:rPr>
                      <w:rFonts w:ascii="Calibri" w:eastAsia="Calibri" w:hAnsi="Calibri" w:cs="Calibri"/>
                      <w:b/>
                      <w:bCs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i w:val="0"/>
                      <w:color w:val="000000"/>
                      <w:spacing w:val="0"/>
                      <w:sz w:val="22"/>
                      <w:u w:val="none"/>
                    </w:rPr>
                    <w:t>totalt</w:t>
                  </w:r>
                </w:p>
              </w:tc>
            </w:tr>
            <w:tr>
              <w:tblPrEx>
                <w:tblW w:w="5000" w:type="pct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rHeight w:val="290"/>
              </w:trPr>
              <w:tc>
                <w:tcPr>
                  <w:tcBorders>
                    <w:top w:val="single" w:sz="6" w:space="0" w:color="BFBFBF"/>
                    <w:bottom w:val="single" w:sz="6" w:space="0" w:color="BFBFBF"/>
                    <w:right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left"/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  <w:r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  <w:t>2025/2026</w:t>
                  </w:r>
                </w:p>
              </w:tc>
              <w:tc>
                <w:tcPr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right"/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  <w:r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  <w:t>70</w:t>
                  </w:r>
                </w:p>
              </w:tc>
              <w:tc>
                <w:tcPr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right"/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  <w:r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  <w:t>70</w:t>
                  </w:r>
                </w:p>
              </w:tc>
              <w:tc>
                <w:tcPr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right"/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  <w:r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  <w:t>383</w:t>
                  </w:r>
                </w:p>
              </w:tc>
              <w:tc>
                <w:tcPr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right"/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  <w:r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  <w:t>273</w:t>
                  </w:r>
                </w:p>
              </w:tc>
              <w:tc>
                <w:tcPr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right"/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  <w:r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  <w:t>210</w:t>
                  </w:r>
                </w:p>
              </w:tc>
              <w:tc>
                <w:tcPr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right"/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i w:val="0"/>
                      <w:color w:val="000000"/>
                      <w:spacing w:val="0"/>
                      <w:sz w:val="22"/>
                      <w:u w:val="none"/>
                    </w:rPr>
                    <w:t>1006</w:t>
                  </w:r>
                </w:p>
              </w:tc>
              <w:tc>
                <w:tcPr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right"/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  <w:r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  <w:t>467</w:t>
                  </w:r>
                </w:p>
              </w:tc>
              <w:tc>
                <w:tcPr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right"/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i w:val="0"/>
                      <w:color w:val="000000"/>
                      <w:spacing w:val="0"/>
                      <w:sz w:val="22"/>
                      <w:u w:val="none"/>
                    </w:rPr>
                    <w:t>1473</w:t>
                  </w:r>
                </w:p>
              </w:tc>
            </w:tr>
            <w:tr>
              <w:tblPrEx>
                <w:tblW w:w="5000" w:type="pct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rHeight w:val="290"/>
              </w:trPr>
              <w:tc>
                <w:tcPr>
                  <w:tcBorders>
                    <w:top w:val="single" w:sz="6" w:space="0" w:color="BFBFBF"/>
                    <w:bottom w:val="single" w:sz="6" w:space="0" w:color="BFBFBF"/>
                    <w:right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left"/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  <w:r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  <w:t>2026/2027</w:t>
                  </w:r>
                </w:p>
              </w:tc>
              <w:tc>
                <w:tcPr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right"/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  <w:r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  <w:t>73</w:t>
                  </w:r>
                </w:p>
              </w:tc>
              <w:tc>
                <w:tcPr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right"/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  <w:r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  <w:t>65</w:t>
                  </w:r>
                </w:p>
              </w:tc>
              <w:tc>
                <w:tcPr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right"/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  <w:r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  <w:t>390</w:t>
                  </w:r>
                </w:p>
              </w:tc>
              <w:tc>
                <w:tcPr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right"/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  <w:r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  <w:t>263</w:t>
                  </w:r>
                </w:p>
              </w:tc>
              <w:tc>
                <w:tcPr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right"/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  <w:r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  <w:t>195</w:t>
                  </w:r>
                </w:p>
              </w:tc>
              <w:tc>
                <w:tcPr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right"/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i w:val="0"/>
                      <w:color w:val="000000"/>
                      <w:spacing w:val="0"/>
                      <w:sz w:val="22"/>
                      <w:u w:val="none"/>
                    </w:rPr>
                    <w:t>986</w:t>
                  </w:r>
                </w:p>
              </w:tc>
              <w:tc>
                <w:tcPr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right"/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  <w:r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  <w:t>473</w:t>
                  </w:r>
                </w:p>
              </w:tc>
              <w:tc>
                <w:tcPr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right"/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i w:val="0"/>
                      <w:color w:val="000000"/>
                      <w:spacing w:val="0"/>
                      <w:sz w:val="22"/>
                      <w:u w:val="none"/>
                    </w:rPr>
                    <w:t>1459</w:t>
                  </w:r>
                </w:p>
              </w:tc>
            </w:tr>
            <w:tr>
              <w:tblPrEx>
                <w:tblW w:w="5000" w:type="pct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rHeight w:val="290"/>
              </w:trPr>
              <w:tc>
                <w:tcPr>
                  <w:tcBorders>
                    <w:top w:val="single" w:sz="6" w:space="0" w:color="BFBFBF"/>
                    <w:bottom w:val="single" w:sz="6" w:space="0" w:color="BFBFBF"/>
                    <w:right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left"/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  <w:r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  <w:t>2027/2028</w:t>
                  </w:r>
                </w:p>
              </w:tc>
              <w:tc>
                <w:tcPr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right"/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  <w:r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  <w:t>73</w:t>
                  </w:r>
                </w:p>
              </w:tc>
              <w:tc>
                <w:tcPr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right"/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  <w:r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  <w:t>68</w:t>
                  </w:r>
                </w:p>
              </w:tc>
              <w:tc>
                <w:tcPr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right"/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  <w:r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  <w:t>386</w:t>
                  </w:r>
                </w:p>
              </w:tc>
              <w:tc>
                <w:tcPr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right"/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  <w:r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  <w:t>253</w:t>
                  </w:r>
                </w:p>
              </w:tc>
              <w:tc>
                <w:tcPr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right"/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  <w:r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  <w:t>187</w:t>
                  </w:r>
                </w:p>
              </w:tc>
              <w:tc>
                <w:tcPr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right"/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i w:val="0"/>
                      <w:color w:val="000000"/>
                      <w:spacing w:val="0"/>
                      <w:sz w:val="22"/>
                      <w:u w:val="none"/>
                    </w:rPr>
                    <w:t>967</w:t>
                  </w:r>
                </w:p>
              </w:tc>
              <w:tc>
                <w:tcPr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right"/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  <w:r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  <w:t>434</w:t>
                  </w:r>
                </w:p>
              </w:tc>
              <w:tc>
                <w:tcPr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right"/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i w:val="0"/>
                      <w:color w:val="000000"/>
                      <w:spacing w:val="0"/>
                      <w:sz w:val="22"/>
                      <w:u w:val="none"/>
                    </w:rPr>
                    <w:t>1401</w:t>
                  </w:r>
                </w:p>
              </w:tc>
            </w:tr>
            <w:tr>
              <w:tblPrEx>
                <w:tblW w:w="5000" w:type="pct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rHeight w:val="290"/>
              </w:trPr>
              <w:tc>
                <w:tcPr>
                  <w:tcBorders>
                    <w:top w:val="single" w:sz="6" w:space="0" w:color="BFBFBF"/>
                    <w:bottom w:val="single" w:sz="6" w:space="0" w:color="BFBFBF"/>
                    <w:right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left"/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  <w:r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  <w:t>2028/2029</w:t>
                  </w:r>
                </w:p>
              </w:tc>
              <w:tc>
                <w:tcPr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right"/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  <w:r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  <w:t>76</w:t>
                  </w:r>
                </w:p>
              </w:tc>
              <w:tc>
                <w:tcPr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right"/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  <w:r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  <w:t>66</w:t>
                  </w:r>
                </w:p>
              </w:tc>
              <w:tc>
                <w:tcPr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right"/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  <w:r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  <w:t>392</w:t>
                  </w:r>
                </w:p>
              </w:tc>
              <w:tc>
                <w:tcPr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right"/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  <w:r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  <w:t>234</w:t>
                  </w:r>
                </w:p>
              </w:tc>
              <w:tc>
                <w:tcPr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right"/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  <w:r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  <w:t>183</w:t>
                  </w:r>
                </w:p>
              </w:tc>
              <w:tc>
                <w:tcPr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right"/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i w:val="0"/>
                      <w:color w:val="000000"/>
                      <w:spacing w:val="0"/>
                      <w:sz w:val="22"/>
                      <w:u w:val="none"/>
                    </w:rPr>
                    <w:t>951</w:t>
                  </w:r>
                </w:p>
              </w:tc>
              <w:tc>
                <w:tcPr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right"/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  <w:r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  <w:t>422</w:t>
                  </w:r>
                </w:p>
              </w:tc>
              <w:tc>
                <w:tcPr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right"/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i w:val="0"/>
                      <w:color w:val="000000"/>
                      <w:spacing w:val="0"/>
                      <w:sz w:val="22"/>
                      <w:u w:val="none"/>
                    </w:rPr>
                    <w:t>1373</w:t>
                  </w:r>
                </w:p>
              </w:tc>
            </w:tr>
            <w:tr>
              <w:tblPrEx>
                <w:tblW w:w="5000" w:type="pct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rHeight w:val="290"/>
              </w:trPr>
              <w:tc>
                <w:tcPr>
                  <w:tcBorders>
                    <w:top w:val="single" w:sz="6" w:space="0" w:color="BFBFBF"/>
                    <w:bottom w:val="single" w:sz="6" w:space="0" w:color="BFBFBF"/>
                    <w:right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left"/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  <w:r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  <w:t>2029/2030</w:t>
                  </w:r>
                </w:p>
              </w:tc>
              <w:tc>
                <w:tcPr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right"/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  <w:r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  <w:t>76</w:t>
                  </w:r>
                </w:p>
              </w:tc>
              <w:tc>
                <w:tcPr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right"/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  <w:r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  <w:t>66</w:t>
                  </w:r>
                </w:p>
              </w:tc>
              <w:tc>
                <w:tcPr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right"/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  <w:r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  <w:t>377</w:t>
                  </w:r>
                </w:p>
              </w:tc>
              <w:tc>
                <w:tcPr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right"/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  <w:r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  <w:t>227</w:t>
                  </w:r>
                </w:p>
              </w:tc>
              <w:tc>
                <w:tcPr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right"/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  <w:r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  <w:t>162</w:t>
                  </w:r>
                </w:p>
              </w:tc>
              <w:tc>
                <w:tcPr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right"/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i w:val="0"/>
                      <w:color w:val="000000"/>
                      <w:spacing w:val="0"/>
                      <w:sz w:val="22"/>
                      <w:u w:val="none"/>
                    </w:rPr>
                    <w:t>908</w:t>
                  </w:r>
                </w:p>
              </w:tc>
              <w:tc>
                <w:tcPr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right"/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  <w:r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  <w:t>426</w:t>
                  </w:r>
                </w:p>
              </w:tc>
              <w:tc>
                <w:tcPr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right"/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i w:val="0"/>
                      <w:color w:val="000000"/>
                      <w:spacing w:val="0"/>
                      <w:sz w:val="22"/>
                      <w:u w:val="none"/>
                    </w:rPr>
                    <w:t>1334</w:t>
                  </w:r>
                </w:p>
              </w:tc>
            </w:tr>
            <w:tr>
              <w:tblPrEx>
                <w:tblW w:w="5000" w:type="pct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rHeight w:val="290"/>
              </w:trPr>
              <w:tc>
                <w:tcPr>
                  <w:tcBorders>
                    <w:top w:val="single" w:sz="6" w:space="0" w:color="BFBFBF"/>
                    <w:bottom w:val="single" w:sz="6" w:space="0" w:color="BFBFBF"/>
                    <w:right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left"/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  <w:r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  <w:t>2030/2031</w:t>
                  </w:r>
                </w:p>
              </w:tc>
              <w:tc>
                <w:tcPr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right"/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  <w:r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  <w:t>77</w:t>
                  </w:r>
                </w:p>
              </w:tc>
              <w:tc>
                <w:tcPr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right"/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  <w:r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  <w:t>72</w:t>
                  </w:r>
                </w:p>
              </w:tc>
              <w:tc>
                <w:tcPr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right"/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  <w:r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  <w:t>371</w:t>
                  </w:r>
                </w:p>
              </w:tc>
              <w:tc>
                <w:tcPr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right"/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  <w:r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  <w:t>222</w:t>
                  </w:r>
                </w:p>
              </w:tc>
              <w:tc>
                <w:tcPr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right"/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  <w:r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  <w:t>149</w:t>
                  </w:r>
                </w:p>
              </w:tc>
              <w:tc>
                <w:tcPr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right"/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i w:val="0"/>
                      <w:color w:val="000000"/>
                      <w:spacing w:val="0"/>
                      <w:sz w:val="22"/>
                      <w:u w:val="none"/>
                    </w:rPr>
                    <w:t>891</w:t>
                  </w:r>
                </w:p>
              </w:tc>
              <w:tc>
                <w:tcPr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right"/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  <w:r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  <w:t>429</w:t>
                  </w:r>
                </w:p>
              </w:tc>
              <w:tc>
                <w:tcPr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right"/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i w:val="0"/>
                      <w:color w:val="000000"/>
                      <w:spacing w:val="0"/>
                      <w:sz w:val="22"/>
                      <w:u w:val="none"/>
                    </w:rPr>
                    <w:t>1320</w:t>
                  </w:r>
                </w:p>
              </w:tc>
            </w:tr>
            <w:tr>
              <w:tblPrEx>
                <w:tblW w:w="5000" w:type="pct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rHeight w:val="290"/>
              </w:trPr>
              <w:tc>
                <w:tcPr>
                  <w:tcBorders>
                    <w:top w:val="single" w:sz="6" w:space="0" w:color="BFBFBF"/>
                    <w:right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left"/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i w:val="0"/>
                      <w:color w:val="000000"/>
                      <w:spacing w:val="0"/>
                      <w:sz w:val="22"/>
                      <w:u w:val="none"/>
                    </w:rPr>
                    <w:t>Nedgang i elevtall</w:t>
                  </w:r>
                </w:p>
              </w:tc>
              <w:tc>
                <w:tcPr>
                  <w:tcW w:w="687" w:type="dxa"/>
                  <w:tcBorders>
                    <w:top w:val="single" w:sz="6" w:space="0" w:color="BFBFBF"/>
                    <w:left w:val="single" w:sz="6" w:space="0" w:color="BFBFBF"/>
                    <w:right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left"/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</w:p>
              </w:tc>
              <w:tc>
                <w:tcPr>
                  <w:tcW w:w="687" w:type="dxa"/>
                  <w:tcBorders>
                    <w:top w:val="single" w:sz="6" w:space="0" w:color="BFBFBF"/>
                    <w:left w:val="single" w:sz="6" w:space="0" w:color="BFBFBF"/>
                    <w:right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left"/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</w:p>
              </w:tc>
              <w:tc>
                <w:tcPr>
                  <w:tcW w:w="687" w:type="dxa"/>
                  <w:tcBorders>
                    <w:top w:val="single" w:sz="6" w:space="0" w:color="BFBFBF"/>
                    <w:left w:val="single" w:sz="6" w:space="0" w:color="BFBFBF"/>
                    <w:right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left"/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</w:p>
              </w:tc>
              <w:tc>
                <w:tcPr>
                  <w:tcW w:w="687" w:type="dxa"/>
                  <w:tcBorders>
                    <w:top w:val="single" w:sz="6" w:space="0" w:color="BFBFBF"/>
                    <w:left w:val="single" w:sz="6" w:space="0" w:color="BFBFBF"/>
                    <w:right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left"/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</w:p>
              </w:tc>
              <w:tc>
                <w:tcPr>
                  <w:tcW w:w="687" w:type="dxa"/>
                  <w:tcBorders>
                    <w:top w:val="single" w:sz="6" w:space="0" w:color="BFBFBF"/>
                    <w:left w:val="single" w:sz="6" w:space="0" w:color="BFBFBF"/>
                    <w:right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left"/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</w:p>
              </w:tc>
              <w:tc>
                <w:tcPr>
                  <w:tcBorders>
                    <w:top w:val="single" w:sz="6" w:space="0" w:color="BFBFBF"/>
                    <w:left w:val="single" w:sz="6" w:space="0" w:color="BFBFBF"/>
                    <w:right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right"/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i w:val="0"/>
                      <w:color w:val="000000"/>
                      <w:spacing w:val="0"/>
                      <w:sz w:val="22"/>
                      <w:u w:val="none"/>
                    </w:rPr>
                    <w:t>115</w:t>
                  </w:r>
                </w:p>
              </w:tc>
              <w:tc>
                <w:tcPr>
                  <w:tcW w:w="687" w:type="dxa"/>
                  <w:tcBorders>
                    <w:top w:val="single" w:sz="6" w:space="0" w:color="BFBFBF"/>
                    <w:left w:val="single" w:sz="6" w:space="0" w:color="BFBFBF"/>
                    <w:right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left"/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</w:p>
              </w:tc>
              <w:tc>
                <w:tcPr>
                  <w:tcBorders>
                    <w:top w:val="single" w:sz="6" w:space="0" w:color="BFBFBF"/>
                    <w:left w:val="single" w:sz="6" w:space="0" w:color="BFBFBF"/>
                  </w:tcBorders>
                  <w:noWrap w:val="0"/>
                  <w:tcMar>
                    <w:top w:w="96" w:type="dxa"/>
                    <w:left w:w="104" w:type="dxa"/>
                    <w:bottom w:w="96" w:type="dxa"/>
                    <w:right w:w="104" w:type="dxa"/>
                  </w:tcMar>
                  <w:vAlign w:val="center"/>
                  <w:hideMark/>
                </w:tcPr>
                <w:p w:rsidR="00A77B3E">
                  <w:pPr>
                    <w:spacing w:afterAutospacing="1"/>
                    <w:ind w:left="0"/>
                    <w:jc w:val="right"/>
                    <w:rPr>
                      <w:rFonts w:ascii="Calibri" w:eastAsia="Calibri" w:hAnsi="Calibri" w:cs="Calibri"/>
                      <w:b w:val="0"/>
                      <w:i w:val="0"/>
                      <w:color w:val="000000"/>
                      <w:spacing w:val="0"/>
                      <w:sz w:val="22"/>
                      <w:u w:val="none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i w:val="0"/>
                      <w:color w:val="000000"/>
                      <w:spacing w:val="0"/>
                      <w:sz w:val="22"/>
                      <w:u w:val="none"/>
                    </w:rPr>
                    <w:t>153</w:t>
                  </w:r>
                </w:p>
              </w:tc>
            </w:tr>
          </w:tbl>
          <w:p w:rsidR="00A77B3E">
            <w:pP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22"/>
                <w:u w:val="none"/>
              </w:rPr>
            </w:pPr>
          </w:p>
        </w:tc>
      </w:tr>
    </w:tbl>
    <w:p w:rsidR="00A77B3E">
      <w:pPr>
        <w:spacing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 </w:t>
      </w:r>
    </w:p>
    <w:p w:rsidR="00A77B3E">
      <w:pPr>
        <w:spacing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Tabellen viser en nedgang i elevtall fra 2025 til 2030 med totalt 153 elever. Dette medfører en beregnet nedgang i rammetilskuddet for perioden med over 21 millioner kroner.  </w:t>
      </w:r>
    </w:p>
    <w:p w:rsidR="00A77B3E">
      <w:pPr>
        <w:spacing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Med bakgrunnen i nedgang i elevtall og kostnadene med å drifte 5 barneskoler er det nødvendig å gjøre strukturelle tiltak for å få ned kostnadene allerede i 2026. Kommundirektøren vil legge frem en sak hvor ulike muligheter vurderes. Med bakgrunn i elevtallsutviklingen og kostnadsbildet, er det naturlig at det er skolene Herre, Rønholt og Rugtvedt som vurderes. Saken legges frem i starten av 2026, slik at tiltak kan iverksettes fra og med skoleåret 2026/2027.  </w:t>
      </w:r>
    </w:p>
    <w:p w:rsidR="00A77B3E">
      <w:pPr>
        <w:spacing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 </w:t>
      </w:r>
    </w:p>
    <w:p w:rsidR="00A77B3E">
      <w:pPr>
        <w:pStyle w:val="Heading4"/>
        <w:jc w:val="left"/>
        <w:rPr>
          <w:rFonts w:ascii="Calibri" w:eastAsia="Calibri" w:hAnsi="Calibri" w:cs="Calibri"/>
          <w:b/>
          <w:i w:val="0"/>
          <w:color w:val="000000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000000"/>
          <w:spacing w:val="0"/>
          <w:sz w:val="24"/>
          <w:u w:val="none"/>
        </w:rPr>
        <w:t>Endringsbeskrivelse</w:t>
      </w:r>
    </w:p>
    <w:p w:rsidR="00A77B3E">
      <w:pPr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spacing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Vi avventer en grundig utredning av skolestrukturen, og vi tar høyde for at dette dermed ikke blir iverksatt i 2026</w:t>
      </w:r>
    </w:p>
    <w:p w:rsidR="00A77B3E">
      <w:pPr>
        <w:pStyle w:val="Heading3"/>
        <w:jc w:val="left"/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  <w:t>Kostnadsreduksjoner C. Voksenopplæring 2025-2027</w:t>
      </w:r>
    </w:p>
    <w:p w:rsidR="00A77B3E">
      <w:pPr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pStyle w:val="Heading4"/>
        <w:jc w:val="left"/>
        <w:rPr>
          <w:rFonts w:ascii="Calibri" w:eastAsia="Calibri" w:hAnsi="Calibri" w:cs="Calibri"/>
          <w:b/>
          <w:i w:val="0"/>
          <w:color w:val="000000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000000"/>
          <w:spacing w:val="0"/>
          <w:sz w:val="24"/>
          <w:u w:val="none"/>
        </w:rPr>
        <w:t>Tiltaksbeskrivelse</w:t>
      </w:r>
    </w:p>
    <w:p w:rsidR="00A77B3E">
      <w:pPr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spacing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Kostnadsreduksjoner i henhold til innsparingsprogrammet.</w:t>
      </w:r>
    </w:p>
    <w:p w:rsidR="00A77B3E">
      <w:pPr>
        <w:spacing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Kommunestyret la i tillegg inn ytterligere innsparing på 1 mill. kroner fra 2025 og 2 mill. kroner fra 2026. Med disse ekstra kuttene vil kommunen fortsatt ligge høyt over gjennomsnittet i kostra gruppe 7.</w:t>
      </w:r>
    </w:p>
    <w:p w:rsidR="00A77B3E">
      <w:pPr>
        <w:pStyle w:val="Heading4"/>
        <w:jc w:val="left"/>
        <w:rPr>
          <w:rFonts w:ascii="Calibri" w:eastAsia="Calibri" w:hAnsi="Calibri" w:cs="Calibri"/>
          <w:b/>
          <w:i w:val="0"/>
          <w:color w:val="000000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000000"/>
          <w:spacing w:val="0"/>
          <w:sz w:val="24"/>
          <w:u w:val="none"/>
        </w:rPr>
        <w:t>Endringsbeskrivelse</w:t>
      </w:r>
    </w:p>
    <w:p w:rsidR="00A77B3E">
      <w:pPr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spacing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I side 61 i kommunedirektørens forslag står det: </w:t>
      </w: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br/>
      </w: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 xml:space="preserve">“Kommunestyret la i tillegg inn ytterligere innsparing på 1 mill. kroner fra 2025 og 2 mill. kroner fra 2026. Med disse ekstra kuttene </w:t>
      </w:r>
      <w:r>
        <w:rPr>
          <w:rFonts w:ascii="Calibri" w:eastAsia="Calibri" w:hAnsi="Calibri" w:cs="Calibri"/>
          <w:b/>
          <w:bCs/>
          <w:i w:val="0"/>
          <w:color w:val="000000"/>
          <w:spacing w:val="0"/>
          <w:sz w:val="22"/>
          <w:u w:val="none"/>
        </w:rPr>
        <w:t>vil kommunen fortsatt ligge høyt over gjennomsnittet i kostra gruppe 7</w:t>
      </w: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.”</w:t>
      </w:r>
    </w:p>
    <w:p w:rsidR="00A77B3E">
      <w:pPr>
        <w:spacing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Vi må ta ut større deler av innsparingspotensialet som synliggjøres i sammenligningen med Kostragruppe 7.</w:t>
      </w:r>
    </w:p>
    <w:p w:rsidR="00A77B3E">
      <w:pPr>
        <w:pStyle w:val="Heading3"/>
        <w:jc w:val="left"/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  <w:t>Innsparingstiltiltak Barnehage Alternativ 1: 4 uker sommerstengt</w:t>
      </w:r>
    </w:p>
    <w:p w:rsidR="00A77B3E">
      <w:pPr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pStyle w:val="Heading4"/>
        <w:jc w:val="left"/>
        <w:rPr>
          <w:rFonts w:ascii="Calibri" w:eastAsia="Calibri" w:hAnsi="Calibri" w:cs="Calibri"/>
          <w:b/>
          <w:i w:val="0"/>
          <w:color w:val="000000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000000"/>
          <w:spacing w:val="0"/>
          <w:sz w:val="24"/>
          <w:u w:val="none"/>
        </w:rPr>
        <w:t>Tiltaksbeskrivelse</w:t>
      </w:r>
    </w:p>
    <w:p w:rsidR="00A77B3E">
      <w:pPr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spacing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4 ukers sommersteng i kommunale barnehager.</w:t>
      </w:r>
    </w:p>
    <w:p w:rsidR="00A77B3E">
      <w:pPr>
        <w:spacing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Bamble kommune har pr. idag 2 ukers sommerstengt i juli. Barna i barnehagen må ta ut 3 uker sommerferie i løpet av sommermånedene. Ved å holde stengt 4 uker, og at ansatte da må ta “fellesferie” kan kommunen spare ekstra utgifter til ferievikarer. Antatt innsparingspotensiale : 1,4 millioner kroner </w:t>
      </w:r>
    </w:p>
    <w:p w:rsidR="00A77B3E">
      <w:pPr>
        <w:spacing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Dette innebærer at vedtektene i kommunale barnehager må endres. Kommunedirektøren gis fullmakt til å endre vedtektene for kommunale barnehager i tråd med budsjettvedtaket.</w:t>
      </w:r>
    </w:p>
    <w:p w:rsidR="00A77B3E">
      <w:pPr>
        <w:pStyle w:val="Heading4"/>
        <w:jc w:val="left"/>
        <w:rPr>
          <w:rFonts w:ascii="Calibri" w:eastAsia="Calibri" w:hAnsi="Calibri" w:cs="Calibri"/>
          <w:b/>
          <w:i w:val="0"/>
          <w:color w:val="000000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000000"/>
          <w:spacing w:val="0"/>
          <w:sz w:val="24"/>
          <w:u w:val="none"/>
        </w:rPr>
        <w:t>Endringsbeskrivelse</w:t>
      </w:r>
    </w:p>
    <w:p w:rsidR="00A77B3E">
      <w:pPr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spacing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Vi vil ha maksimalt 3 uker feriestengt, eventuelt 1 sommeråpen barnehage.</w:t>
      </w:r>
    </w:p>
    <w:p w:rsidR="00A77B3E">
      <w:pPr>
        <w:pStyle w:val="Heading3"/>
        <w:jc w:val="left"/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  <w:t>Kostnadsreduksjoner H. Barn, unge, idrett og kulturbygg 2025-2027</w:t>
      </w:r>
    </w:p>
    <w:p w:rsidR="00A77B3E">
      <w:pPr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pStyle w:val="Heading4"/>
        <w:jc w:val="left"/>
        <w:rPr>
          <w:rFonts w:ascii="Calibri" w:eastAsia="Calibri" w:hAnsi="Calibri" w:cs="Calibri"/>
          <w:b/>
          <w:i w:val="0"/>
          <w:color w:val="000000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000000"/>
          <w:spacing w:val="0"/>
          <w:sz w:val="24"/>
          <w:u w:val="none"/>
        </w:rPr>
        <w:t>Tiltaksbeskrivelse</w:t>
      </w:r>
    </w:p>
    <w:p w:rsidR="00A77B3E">
      <w:pPr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spacing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Kostnadsreduksjoner i henhold til innsparingsprogrammet</w:t>
      </w:r>
    </w:p>
    <w:p w:rsidR="00A77B3E">
      <w:pPr>
        <w:pStyle w:val="Heading4"/>
        <w:jc w:val="left"/>
        <w:rPr>
          <w:rFonts w:ascii="Calibri" w:eastAsia="Calibri" w:hAnsi="Calibri" w:cs="Calibri"/>
          <w:b/>
          <w:i w:val="0"/>
          <w:color w:val="000000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000000"/>
          <w:spacing w:val="0"/>
          <w:sz w:val="24"/>
          <w:u w:val="none"/>
        </w:rPr>
        <w:t>Endringsbeskrivelse</w:t>
      </w:r>
    </w:p>
    <w:p w:rsidR="00A77B3E">
      <w:pPr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spacing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Vi legger tilbake midlene til ungdomsklubbene oppgitt til 597 i 2026, og 600 de påfølgende årene.</w:t>
      </w:r>
    </w:p>
    <w:p w:rsidR="00A77B3E">
      <w:pPr>
        <w:spacing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Vi legger også tilbake et kutt i leirskoletilbud oppgitt til å være 30 pr.år</w:t>
      </w:r>
    </w:p>
    <w:p w:rsidR="00A77B3E">
      <w:pPr>
        <w:pStyle w:val="Heading3"/>
        <w:jc w:val="left"/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  <w:t>Kostnadsreduksjoner F. Sosialtjenestene 2025-2027</w:t>
      </w:r>
    </w:p>
    <w:p w:rsidR="00A77B3E">
      <w:pPr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pStyle w:val="Heading4"/>
        <w:jc w:val="left"/>
        <w:rPr>
          <w:rFonts w:ascii="Calibri" w:eastAsia="Calibri" w:hAnsi="Calibri" w:cs="Calibri"/>
          <w:b/>
          <w:i w:val="0"/>
          <w:color w:val="000000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000000"/>
          <w:spacing w:val="0"/>
          <w:sz w:val="24"/>
          <w:u w:val="none"/>
        </w:rPr>
        <w:t>Tiltaksbeskrivelse</w:t>
      </w:r>
    </w:p>
    <w:p w:rsidR="00A77B3E">
      <w:pPr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spacing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Kostnadsreduksjoner i henhold til innsparingsprogrammet</w:t>
      </w:r>
    </w:p>
    <w:p w:rsidR="00A77B3E">
      <w:pPr>
        <w:pStyle w:val="Heading4"/>
        <w:jc w:val="left"/>
        <w:rPr>
          <w:rFonts w:ascii="Calibri" w:eastAsia="Calibri" w:hAnsi="Calibri" w:cs="Calibri"/>
          <w:b/>
          <w:i w:val="0"/>
          <w:color w:val="000000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000000"/>
          <w:spacing w:val="0"/>
          <w:sz w:val="24"/>
          <w:u w:val="none"/>
        </w:rPr>
        <w:t>Endringsbeskrivelse</w:t>
      </w:r>
    </w:p>
    <w:p w:rsidR="00A77B3E">
      <w:pPr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spacing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Vi legger inn et ekstra kutt på kr.2.740,- pr.dag</w:t>
      </w:r>
    </w:p>
    <w:p w:rsidR="00A77B3E">
      <w:pPr>
        <w:pStyle w:val="Heading3"/>
        <w:jc w:val="left"/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  <w:t>Kostnadsreduksjoner C. Voksenopplæring 2025-2027</w:t>
      </w:r>
    </w:p>
    <w:p w:rsidR="00A77B3E">
      <w:pPr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pStyle w:val="Heading4"/>
        <w:jc w:val="left"/>
        <w:rPr>
          <w:rFonts w:ascii="Calibri" w:eastAsia="Calibri" w:hAnsi="Calibri" w:cs="Calibri"/>
          <w:b/>
          <w:i w:val="0"/>
          <w:color w:val="000000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000000"/>
          <w:spacing w:val="0"/>
          <w:sz w:val="24"/>
          <w:u w:val="none"/>
        </w:rPr>
        <w:t>Tiltaksbeskrivelse</w:t>
      </w:r>
    </w:p>
    <w:p w:rsidR="00A77B3E">
      <w:pPr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spacing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Kostnadsreduksjoner i henhold til innsparingsprogrammet.</w:t>
      </w:r>
    </w:p>
    <w:p w:rsidR="00A77B3E">
      <w:pPr>
        <w:spacing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Kommunestyret la i tillegg inn ytterligere innsparing på 1 mill. kroner fra 2025 og 2 mill. kroner fra 2026. Med disse ekstra kuttene vil kommunen fortsatt ligge høyt over gjennomsnittet i kostra gruppe 7.</w:t>
      </w:r>
    </w:p>
    <w:p w:rsidR="00A77B3E">
      <w:pPr>
        <w:pStyle w:val="Heading4"/>
        <w:jc w:val="left"/>
        <w:rPr>
          <w:rFonts w:ascii="Calibri" w:eastAsia="Calibri" w:hAnsi="Calibri" w:cs="Calibri"/>
          <w:b/>
          <w:i w:val="0"/>
          <w:color w:val="000000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000000"/>
          <w:spacing w:val="0"/>
          <w:sz w:val="24"/>
          <w:u w:val="none"/>
        </w:rPr>
        <w:t>Endringsbeskrivelse</w:t>
      </w:r>
    </w:p>
    <w:p w:rsidR="00A77B3E">
      <w:pPr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spacing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Vi må ta ut større deler av innsparingspotensialet som synliggjøres i sammenligningen med Kostra gruppe 7.</w:t>
      </w:r>
    </w:p>
    <w:p w:rsidR="00A77B3E">
      <w:pPr>
        <w:spacing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Kuttet tilsvarer kr.2.740,- pr.dag</w:t>
      </w:r>
    </w:p>
    <w:p w:rsidR="00A77B3E">
      <w:pPr>
        <w:spacing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 </w:t>
      </w:r>
    </w:p>
    <w:p w:rsidR="00A77B3E">
      <w:pPr>
        <w:pStyle w:val="Heading3"/>
        <w:jc w:val="left"/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  <w:t>Endre middagsleveranser til hjemmeboende</w:t>
      </w:r>
    </w:p>
    <w:p w:rsidR="00A77B3E">
      <w:pPr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pStyle w:val="Heading4"/>
        <w:jc w:val="left"/>
        <w:rPr>
          <w:rFonts w:ascii="Calibri" w:eastAsia="Calibri" w:hAnsi="Calibri" w:cs="Calibri"/>
          <w:b/>
          <w:i w:val="0"/>
          <w:color w:val="000000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000000"/>
          <w:spacing w:val="0"/>
          <w:sz w:val="24"/>
          <w:u w:val="none"/>
        </w:rPr>
        <w:t>Tiltaksbeskrivelse</w:t>
      </w:r>
    </w:p>
    <w:p w:rsidR="00A77B3E">
      <w:pPr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spacing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Kommunalområdet har store innsparingskrav. Det foreslås derfor å vurdere en alternativ løsning for levering av middag til hjemmeboende, for eksempel kjølte eller frosne retter i stedet for varm mat. Forslaget fremmes på nytt, da en endret ordning kan gi en årlig innsparing på rundt 1 mill. kroner.</w:t>
      </w:r>
    </w:p>
    <w:p w:rsidR="00A77B3E">
      <w:pPr>
        <w:pStyle w:val="Heading4"/>
        <w:jc w:val="left"/>
        <w:rPr>
          <w:rFonts w:ascii="Calibri" w:eastAsia="Calibri" w:hAnsi="Calibri" w:cs="Calibri"/>
          <w:b/>
          <w:i w:val="0"/>
          <w:color w:val="000000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000000"/>
          <w:spacing w:val="0"/>
          <w:sz w:val="24"/>
          <w:u w:val="none"/>
        </w:rPr>
        <w:t>Endringsbeskrivelse</w:t>
      </w:r>
    </w:p>
    <w:p w:rsidR="00A77B3E">
      <w:pPr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spacing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Det skal fortsatt være daglig utkjøring av middag til hjemmeboende.</w:t>
      </w:r>
    </w:p>
    <w:p w:rsidR="00A77B3E">
      <w:pPr>
        <w:spacing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 </w:t>
      </w:r>
    </w:p>
    <w:p w:rsidR="00A77B3E">
      <w:pPr>
        <w:spacing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 </w:t>
      </w:r>
    </w:p>
    <w:p w:rsidR="00A77B3E">
      <w:pPr>
        <w:pStyle w:val="Heading3"/>
        <w:jc w:val="left"/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  <w:t>Økte kostnader tjenestebiler hjemmetjenesten</w:t>
      </w:r>
    </w:p>
    <w:p w:rsidR="00A77B3E">
      <w:pPr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pStyle w:val="Heading4"/>
        <w:jc w:val="left"/>
        <w:rPr>
          <w:rFonts w:ascii="Calibri" w:eastAsia="Calibri" w:hAnsi="Calibri" w:cs="Calibri"/>
          <w:b/>
          <w:i w:val="0"/>
          <w:color w:val="000000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000000"/>
          <w:spacing w:val="0"/>
          <w:sz w:val="24"/>
          <w:u w:val="none"/>
        </w:rPr>
        <w:t>Tiltaksbeskrivelse</w:t>
      </w:r>
    </w:p>
    <w:p w:rsidR="00A77B3E">
      <w:pPr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spacing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 xml:space="preserve">Hjemmetjenesten har ikke tilstrekkelig budsjettmidler til å dekke kjørekostnadene, og har behov for en økning av rammen med 2,56 mill. kroner. </w:t>
      </w:r>
    </w:p>
    <w:p w:rsidR="00A77B3E">
      <w:pPr>
        <w:pStyle w:val="Heading3"/>
        <w:jc w:val="left"/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  <w:t xml:space="preserve"> Kostnadsreduksjoner Kirke, innsparinger 2026 tom 2028</w:t>
      </w:r>
    </w:p>
    <w:p w:rsidR="00A77B3E">
      <w:pPr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pStyle w:val="Heading4"/>
        <w:jc w:val="left"/>
        <w:rPr>
          <w:rFonts w:ascii="Calibri" w:eastAsia="Calibri" w:hAnsi="Calibri" w:cs="Calibri"/>
          <w:b/>
          <w:i w:val="0"/>
          <w:color w:val="000000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000000"/>
          <w:spacing w:val="0"/>
          <w:sz w:val="24"/>
          <w:u w:val="none"/>
        </w:rPr>
        <w:t>Tiltaksbeskrivelse</w:t>
      </w:r>
    </w:p>
    <w:p w:rsidR="00A77B3E">
      <w:pPr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spacing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 xml:space="preserve">Bamble kommune har et høyere utgiftsnivå til kirkeformål enn sammenlignbare kommuner. Netto driftsutgifter var </w:t>
      </w:r>
      <w:r>
        <w:rPr>
          <w:rFonts w:ascii="Calibri" w:eastAsia="Calibri" w:hAnsi="Calibri" w:cs="Calibri"/>
          <w:b/>
          <w:bCs/>
          <w:i w:val="0"/>
          <w:color w:val="000000"/>
          <w:spacing w:val="0"/>
          <w:sz w:val="22"/>
          <w:u w:val="none"/>
        </w:rPr>
        <w:t>905 kroner per innbygger</w:t>
      </w: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 xml:space="preserve"> i 2024, mot </w:t>
      </w:r>
      <w:r>
        <w:rPr>
          <w:rFonts w:ascii="Calibri" w:eastAsia="Calibri" w:hAnsi="Calibri" w:cs="Calibri"/>
          <w:b/>
          <w:bCs/>
          <w:i w:val="0"/>
          <w:color w:val="000000"/>
          <w:spacing w:val="0"/>
          <w:sz w:val="22"/>
          <w:u w:val="none"/>
        </w:rPr>
        <w:t>669 kroner i KOSTRA-gruppe 7</w:t>
      </w: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 xml:space="preserve">, noe som tilsvarer et teoretisk innsparingspotensial på om lag </w:t>
      </w:r>
      <w:r>
        <w:rPr>
          <w:rFonts w:ascii="Calibri" w:eastAsia="Calibri" w:hAnsi="Calibri" w:cs="Calibri"/>
          <w:b/>
          <w:bCs/>
          <w:i w:val="0"/>
          <w:color w:val="000000"/>
          <w:spacing w:val="0"/>
          <w:sz w:val="22"/>
          <w:u w:val="none"/>
        </w:rPr>
        <w:t>3,4 millioner kroner</w:t>
      </w: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 xml:space="preserve"> eller </w:t>
      </w:r>
      <w:r>
        <w:rPr>
          <w:rFonts w:ascii="Calibri" w:eastAsia="Calibri" w:hAnsi="Calibri" w:cs="Calibri"/>
          <w:b/>
          <w:bCs/>
          <w:i w:val="0"/>
          <w:color w:val="000000"/>
          <w:spacing w:val="0"/>
          <w:sz w:val="22"/>
          <w:u w:val="none"/>
        </w:rPr>
        <w:t>26 prosent</w:t>
      </w: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 xml:space="preserve">. </w:t>
      </w:r>
    </w:p>
    <w:p w:rsidR="00A77B3E">
      <w:pPr>
        <w:spacing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 xml:space="preserve">I 2024 brukte Bamble kommune </w:t>
      </w:r>
      <w:r>
        <w:rPr>
          <w:rFonts w:ascii="Calibri" w:eastAsia="Calibri" w:hAnsi="Calibri" w:cs="Calibri"/>
          <w:b/>
          <w:bCs/>
          <w:i w:val="0"/>
          <w:color w:val="000000"/>
          <w:spacing w:val="0"/>
          <w:sz w:val="22"/>
          <w:u w:val="none"/>
        </w:rPr>
        <w:t>297 kroner per innbygger</w:t>
      </w: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 xml:space="preserve"> til gravplasser og krematorier, mens </w:t>
      </w:r>
      <w:r>
        <w:rPr>
          <w:rFonts w:ascii="Calibri" w:eastAsia="Calibri" w:hAnsi="Calibri" w:cs="Calibri"/>
          <w:b/>
          <w:bCs/>
          <w:i w:val="0"/>
          <w:color w:val="000000"/>
          <w:spacing w:val="0"/>
          <w:sz w:val="22"/>
          <w:u w:val="none"/>
        </w:rPr>
        <w:t>gjennomsnittet i KOSTRA-gruppe 7</w:t>
      </w: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 xml:space="preserve"> var </w:t>
      </w:r>
      <w:r>
        <w:rPr>
          <w:rFonts w:ascii="Calibri" w:eastAsia="Calibri" w:hAnsi="Calibri" w:cs="Calibri"/>
          <w:b/>
          <w:bCs/>
          <w:i w:val="0"/>
          <w:color w:val="000000"/>
          <w:spacing w:val="0"/>
          <w:sz w:val="22"/>
          <w:u w:val="none"/>
        </w:rPr>
        <w:t>102 kroner per innbygger</w:t>
      </w: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 xml:space="preserve">.Det betyr at Bamble ligger om lag </w:t>
      </w:r>
      <w:r>
        <w:rPr>
          <w:rFonts w:ascii="Calibri" w:eastAsia="Calibri" w:hAnsi="Calibri" w:cs="Calibri"/>
          <w:b/>
          <w:bCs/>
          <w:i w:val="0"/>
          <w:color w:val="000000"/>
          <w:spacing w:val="0"/>
          <w:sz w:val="22"/>
          <w:u w:val="none"/>
        </w:rPr>
        <w:t>195 kroner høyere per innbygger</w:t>
      </w: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 xml:space="preserve">, som tilsvarer et merforbruk på omtrent </w:t>
      </w:r>
      <w:r>
        <w:rPr>
          <w:rFonts w:ascii="Calibri" w:eastAsia="Calibri" w:hAnsi="Calibri" w:cs="Calibri"/>
          <w:b/>
          <w:bCs/>
          <w:i w:val="0"/>
          <w:color w:val="000000"/>
          <w:spacing w:val="0"/>
          <w:sz w:val="22"/>
          <w:u w:val="none"/>
        </w:rPr>
        <w:t>2,8 millioner kroner</w:t>
      </w: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 xml:space="preserve"> totalt. Med andre ord bruker Bamble </w:t>
      </w:r>
      <w:r>
        <w:rPr>
          <w:rFonts w:ascii="Calibri" w:eastAsia="Calibri" w:hAnsi="Calibri" w:cs="Calibri"/>
          <w:b/>
          <w:bCs/>
          <w:i w:val="0"/>
          <w:color w:val="000000"/>
          <w:spacing w:val="0"/>
          <w:sz w:val="22"/>
          <w:u w:val="none"/>
        </w:rPr>
        <w:t>nær tre ganger så mye som sammenlignbare kommuner</w:t>
      </w: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 xml:space="preserve"> på dette området.</w:t>
      </w:r>
    </w:p>
    <w:p w:rsidR="00A77B3E">
      <w:pPr>
        <w:spacing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Kostnadsnivået ligger over gjennomsnittet både for drift av kirken og for gravplassforvaltningen. Samlet sett er utgiftene høye i forhold til kommunens økonomiske bæreevne og bør vurderes i lys av øvrige prioriterte tjenesteområder for å sikre balanse og handlingsrom i økonomiplanen.</w:t>
      </w:r>
    </w:p>
    <w:p w:rsidR="00A77B3E">
      <w:pPr>
        <w:pStyle w:val="Heading4"/>
        <w:jc w:val="left"/>
        <w:rPr>
          <w:rFonts w:ascii="Calibri" w:eastAsia="Calibri" w:hAnsi="Calibri" w:cs="Calibri"/>
          <w:b/>
          <w:i w:val="0"/>
          <w:color w:val="000000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000000"/>
          <w:spacing w:val="0"/>
          <w:sz w:val="24"/>
          <w:u w:val="none"/>
        </w:rPr>
        <w:t>Endringsbeskrivelse</w:t>
      </w:r>
    </w:p>
    <w:p w:rsidR="00A77B3E">
      <w:pPr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spacing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Dette området må også redusere kostnader, men vi kutter mindre enn foreslått de påfølgende årene.</w:t>
      </w:r>
    </w:p>
    <w:p w:rsidR="00A77B3E">
      <w:pPr>
        <w:pStyle w:val="Heading3"/>
        <w:jc w:val="left"/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  <w:t>Stillingsstopp</w:t>
      </w:r>
    </w:p>
    <w:p w:rsidR="00A77B3E">
      <w:pPr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pStyle w:val="Heading4"/>
        <w:jc w:val="left"/>
        <w:rPr>
          <w:rFonts w:ascii="Calibri" w:eastAsia="Calibri" w:hAnsi="Calibri" w:cs="Calibri"/>
          <w:b/>
          <w:i w:val="0"/>
          <w:color w:val="000000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000000"/>
          <w:spacing w:val="0"/>
          <w:sz w:val="24"/>
          <w:u w:val="none"/>
        </w:rPr>
        <w:t>Tiltaksbeskrivelse</w:t>
      </w:r>
    </w:p>
    <w:p w:rsidR="00A77B3E">
      <w:pPr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spacing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Det innføres stillingsstopp. Alle ledige stillinger skal vurderes i kommunedirektørens ledergruppe før eventuell utlysning. Kommunedirektøren vurderer dette enkeltvis eller gruppevis konkret ut fra behov, lovpålagte oppgaver og prioriteringer i økonomiplanen.</w:t>
      </w:r>
    </w:p>
    <w:p w:rsidR="00A77B3E">
      <w:pPr>
        <w:spacing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I budsjettet er det lagt inn en årlig innsparingsvirkning på 1 mill. kroner fra 2026 som inndragelse av stillinger utover innsparingsprogrammene.</w:t>
      </w:r>
    </w:p>
    <w:p w:rsidR="00A77B3E">
      <w:pPr>
        <w:pStyle w:val="Heading4"/>
        <w:jc w:val="left"/>
        <w:rPr>
          <w:rFonts w:ascii="Calibri" w:eastAsia="Calibri" w:hAnsi="Calibri" w:cs="Calibri"/>
          <w:b/>
          <w:i w:val="0"/>
          <w:color w:val="000000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000000"/>
          <w:spacing w:val="0"/>
          <w:sz w:val="24"/>
          <w:u w:val="none"/>
        </w:rPr>
        <w:t>Endringsbeskrivelse</w:t>
      </w:r>
    </w:p>
    <w:p w:rsidR="00A77B3E">
      <w:pPr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spacing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1 mill tilsvarer kun litt i overkant av et gjennomsnittlig årsverk. (kr.800.000,-)</w:t>
      </w:r>
    </w:p>
    <w:p w:rsidR="00A77B3E">
      <w:pPr>
        <w:spacing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Vi har ca 1150 fast ansatte i Bamble kommune og bør kunne gjennomføre en reduksjon ved naturlig avgang.</w:t>
      </w:r>
    </w:p>
    <w:p w:rsidR="00A77B3E">
      <w:pPr>
        <w:spacing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Med en turnover på over 120 stillinger pr.år, mener vi det er rom for en ytterligere reduksjon på fra 13 stillinger pr.år. </w:t>
      </w:r>
    </w:p>
    <w:p w:rsidR="00A77B3E">
      <w:pPr>
        <w:spacing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Halv effekt fra 2026</w:t>
      </w:r>
    </w:p>
    <w:p w:rsidR="00A77B3E">
      <w:pPr>
        <w:spacing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 </w:t>
      </w:r>
    </w:p>
    <w:p w:rsidR="00A77B3E">
      <w:pPr>
        <w:pStyle w:val="Heading3"/>
        <w:jc w:val="left"/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  <w:t>Rentenedgang</w:t>
      </w:r>
    </w:p>
    <w:p w:rsidR="00A77B3E">
      <w:pPr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pStyle w:val="Heading4"/>
        <w:jc w:val="left"/>
        <w:rPr>
          <w:rFonts w:ascii="Calibri" w:eastAsia="Calibri" w:hAnsi="Calibri" w:cs="Calibri"/>
          <w:b/>
          <w:i w:val="0"/>
          <w:color w:val="000000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000000"/>
          <w:spacing w:val="0"/>
          <w:sz w:val="24"/>
          <w:u w:val="none"/>
        </w:rPr>
        <w:t>Endringsbeskrivelse</w:t>
      </w:r>
    </w:p>
    <w:p w:rsidR="00A77B3E">
      <w:pPr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spacing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 xml:space="preserve">I økonomiplanen s.35-36 oppgis forventet rentenivå med henvisning til Kommunalbankens tabell pr.21.09.25. (https://www.kbn.com/om-oss/nyheter/2025/budsjettrenter-2025-2030/) Det indikeres et årlig rentekutt på 0,25%-poeng pr.år frem til utgangen av 2028. </w:t>
      </w:r>
    </w:p>
    <w:p w:rsidR="00A77B3E">
      <w:pPr>
        <w:pStyle w:val="Heading2"/>
        <w:jc w:val="left"/>
        <w:rPr>
          <w:rFonts w:ascii="Calibri" w:eastAsia="Calibri" w:hAnsi="Calibri" w:cs="Calibri"/>
          <w:b/>
          <w:i w:val="0"/>
          <w:color w:val="0070C0"/>
          <w:spacing w:val="0"/>
          <w:sz w:val="26"/>
          <w:u w:val="none"/>
        </w:rPr>
      </w:pPr>
      <w:r>
        <w:rPr>
          <w:rFonts w:ascii="Calibri" w:eastAsia="Calibri" w:hAnsi="Calibri" w:cs="Calibri"/>
          <w:b/>
          <w:i w:val="0"/>
          <w:color w:val="0070C0"/>
          <w:spacing w:val="0"/>
          <w:sz w:val="26"/>
          <w:u w:val="none"/>
        </w:rPr>
        <w:t>Investeringer med endringer 2026-2030</w:t>
      </w:r>
    </w:p>
    <w:p w:rsidR="00A77B3E">
      <w:pPr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jc w:val="left"/>
        <w:rPr>
          <w:rFonts w:ascii="Calibri" w:eastAsia="Calibri" w:hAnsi="Calibri" w:cs="Calibri"/>
          <w:b/>
          <w:i/>
          <w:color w:val="000000"/>
          <w:spacing w:val="0"/>
          <w:sz w:val="16"/>
          <w:u w:val="none"/>
        </w:rPr>
        <w:sectPr>
          <w:type w:val="nextPage"/>
          <w:pgSz w:w="11906" w:h="16838" w:orient="portrait"/>
          <w:pgMar w:top="1440" w:right="1134" w:bottom="1440" w:left="1417" w:header="720" w:footer="720" w:gutter="0"/>
          <w:cols w:space="720"/>
          <w:titlePg/>
          <w:docGrid w:linePitch="360"/>
        </w:sectPr>
      </w:pP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</w:pPr>
      <w:r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  <w:t>Beløp i 1000</w:t>
      </w:r>
    </w:p>
    <w:tbl>
      <w:tblPr>
        <w:tblStyle w:val="GridTable1Light"/>
        <w:tblW w:w="6700" w:type="pct"/>
      </w:tblPr>
      <w:tblGrid>
        <w:gridCol w:w="2746"/>
        <w:gridCol w:w="1579"/>
        <w:gridCol w:w="1041"/>
        <w:gridCol w:w="973"/>
        <w:gridCol w:w="946"/>
        <w:gridCol w:w="1041"/>
        <w:gridCol w:w="973"/>
        <w:gridCol w:w="946"/>
        <w:gridCol w:w="1041"/>
        <w:gridCol w:w="973"/>
        <w:gridCol w:w="946"/>
        <w:gridCol w:w="1041"/>
        <w:gridCol w:w="973"/>
        <w:gridCol w:w="946"/>
        <w:gridCol w:w="1041"/>
        <w:gridCol w:w="973"/>
        <w:gridCol w:w="946"/>
      </w:tblGrid>
      <w:tr>
        <w:tblPrEx>
          <w:tblW w:w="67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</w:p>
        </w:tc>
        <w:tc>
          <w:tcPr>
            <w:tcW w:w="4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2026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2027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2028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2029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2030</w:t>
            </w:r>
          </w:p>
        </w:tc>
      </w:tr>
      <w:tr>
        <w:tblPrEx>
          <w:tblW w:w="67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Investering</w:t>
            </w:r>
          </w:p>
        </w:tc>
        <w:tc>
          <w:tcPr>
            <w:tcW w:w="4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Godkjenningsvedtak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</w:tr>
      <w:tr>
        <w:tblPrEx>
          <w:tblW w:w="67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Oppgradering kommunale bygg</w:t>
            </w:r>
          </w:p>
        </w:tc>
        <w:tc>
          <w:tcPr>
            <w:tcW w:w="4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</w:tr>
      <w:tr>
        <w:tblPrEx>
          <w:tblW w:w="67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Fornying av biler eiendom</w:t>
            </w:r>
          </w:p>
        </w:tc>
        <w:tc>
          <w:tcPr>
            <w:tcW w:w="4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67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Eiendom overgang til EL-biler</w:t>
            </w:r>
          </w:p>
        </w:tc>
        <w:tc>
          <w:tcPr>
            <w:tcW w:w="4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6700" w:type="pct"/>
        </w:tblPrEx>
        <w:tc>
          <w:tcPr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Sum Oppgradering kommunale bygg</w:t>
            </w:r>
          </w:p>
        </w:tc>
        <w:tc>
          <w:tcPr>
            <w:tcW w:w="4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2 000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-2 000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</w:tr>
      <w:tr>
        <w:tblPrEx>
          <w:tblW w:w="67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4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</w:tr>
      <w:tr>
        <w:tblPrEx>
          <w:tblW w:w="67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Attraktivitet, miljø, friområder, mm.</w:t>
            </w:r>
          </w:p>
        </w:tc>
        <w:tc>
          <w:tcPr>
            <w:tcW w:w="4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</w:tr>
      <w:tr>
        <w:tblPrEx>
          <w:tblW w:w="67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Kai og Park på Smietangen</w:t>
            </w:r>
          </w:p>
        </w:tc>
        <w:tc>
          <w:tcPr>
            <w:tcW w:w="4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6700" w:type="pct"/>
        </w:tblPrEx>
        <w:tc>
          <w:tcPr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Sum Attraktivitet, miljø, friområder, mm.</w:t>
            </w:r>
          </w:p>
        </w:tc>
        <w:tc>
          <w:tcPr>
            <w:tcW w:w="4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5 000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-5 000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</w:tr>
      <w:tr>
        <w:tblPrEx>
          <w:tblW w:w="67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4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</w:tr>
      <w:tr>
        <w:tblPrEx>
          <w:tblW w:w="67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Finansiering og øvrige poster</w:t>
            </w:r>
          </w:p>
        </w:tc>
        <w:tc>
          <w:tcPr>
            <w:tcW w:w="4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</w:tr>
      <w:tr>
        <w:tblPrEx>
          <w:tblW w:w="67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Kompensasjon for merverdiavgift</w:t>
            </w:r>
          </w:p>
        </w:tc>
        <w:tc>
          <w:tcPr>
            <w:tcW w:w="4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-31 770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1 100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-30 670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-8 733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-8 733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-31 300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-31 300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-57 000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-57 000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-36 600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-36 600</w:t>
            </w:r>
          </w:p>
        </w:tc>
      </w:tr>
      <w:tr>
        <w:tblPrEx>
          <w:tblW w:w="67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Salg av varige driftsmidler</w:t>
            </w:r>
          </w:p>
        </w:tc>
        <w:tc>
          <w:tcPr>
            <w:tcW w:w="4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-5 000</w:t>
            </w:r>
          </w:p>
        </w:tc>
      </w:tr>
      <w:tr>
        <w:tblPrEx>
          <w:tblW w:w="67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Bruk av lån</w:t>
            </w:r>
          </w:p>
        </w:tc>
        <w:tc>
          <w:tcPr>
            <w:tcW w:w="4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-174 019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10 900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-163 119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-168 174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-163 174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-250 625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-245 625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-560 250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-555 250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-423 149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-418 149</w:t>
            </w:r>
          </w:p>
        </w:tc>
      </w:tr>
      <w:tr>
        <w:tblPrEx>
          <w:tblW w:w="6700" w:type="pct"/>
        </w:tblPrEx>
        <w:tc>
          <w:tcPr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Sum Finansiering og øvrige poster</w:t>
            </w:r>
          </w:p>
        </w:tc>
        <w:tc>
          <w:tcPr>
            <w:tcW w:w="4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-205 789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7 000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-198 789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-176 907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-176 907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-281 925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-281 925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-622 250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-622 250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-459 749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-459 749</w:t>
            </w:r>
          </w:p>
        </w:tc>
      </w:tr>
      <w:tr>
        <w:tblPrEx>
          <w:tblW w:w="67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4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</w:tr>
      <w:tr>
        <w:tblPrEx>
          <w:tblW w:w="6700" w:type="pct"/>
        </w:tblPrEx>
        <w:tc>
          <w:tcPr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Total sum endringer i investeringsbudsjettet</w:t>
            </w:r>
          </w:p>
        </w:tc>
        <w:tc>
          <w:tcPr>
            <w:tcW w:w="4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</w:t>
            </w:r>
          </w:p>
        </w:tc>
      </w:tr>
    </w:tbl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</w:pP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  <w:sectPr>
          <w:type w:val="nextPage"/>
          <w:pgSz w:w="16838" w:h="11906" w:orient="landscape"/>
          <w:pgMar w:top="1440" w:right="1134" w:bottom="1440" w:left="1417" w:header="720" w:footer="720" w:gutter="0"/>
          <w:cols w:space="720"/>
          <w:titlePg/>
          <w:docGrid w:linePitch="360"/>
        </w:sectPr>
      </w:pPr>
    </w:p>
    <w:p w:rsidR="00A77B3E">
      <w:pPr>
        <w:pStyle w:val="Heading2"/>
        <w:spacing w:before="0" w:after="0"/>
        <w:ind w:left="0"/>
        <w:jc w:val="left"/>
        <w:rPr>
          <w:rFonts w:ascii="Calibri" w:eastAsia="Calibri" w:hAnsi="Calibri" w:cs="Calibri"/>
          <w:b/>
          <w:i w:val="0"/>
          <w:color w:val="0070C0"/>
          <w:spacing w:val="0"/>
          <w:sz w:val="26"/>
          <w:u w:val="none"/>
        </w:rPr>
      </w:pPr>
      <w:r>
        <w:rPr>
          <w:rFonts w:ascii="Calibri" w:eastAsia="Calibri" w:hAnsi="Calibri" w:cs="Calibri"/>
          <w:b/>
          <w:i w:val="0"/>
          <w:color w:val="0070C0"/>
          <w:spacing w:val="0"/>
          <w:sz w:val="26"/>
          <w:u w:val="none"/>
        </w:rPr>
        <w:t>Investeringer med endringer 2031-2035</w:t>
      </w: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sectPr>
          <w:type w:val="nextPage"/>
          <w:pgSz w:w="11906" w:h="16838" w:orient="portrait"/>
          <w:pgMar w:top="1440" w:right="1134" w:bottom="1440" w:left="1417" w:header="720" w:footer="720" w:gutter="0"/>
          <w:cols w:space="720"/>
          <w:titlePg/>
          <w:docGrid w:linePitch="360"/>
        </w:sectPr>
      </w:pP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</w:pPr>
      <w:r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  <w:t>Beløp i 1000</w:t>
      </w:r>
    </w:p>
    <w:tbl>
      <w:tblPr>
        <w:tblStyle w:val="GridTable1Light"/>
        <w:tblW w:w="6700" w:type="pct"/>
      </w:tblPr>
      <w:tblGrid>
        <w:gridCol w:w="2746"/>
        <w:gridCol w:w="1579"/>
        <w:gridCol w:w="1041"/>
        <w:gridCol w:w="973"/>
        <w:gridCol w:w="946"/>
        <w:gridCol w:w="1041"/>
        <w:gridCol w:w="973"/>
        <w:gridCol w:w="946"/>
        <w:gridCol w:w="1041"/>
        <w:gridCol w:w="973"/>
        <w:gridCol w:w="946"/>
        <w:gridCol w:w="1041"/>
        <w:gridCol w:w="973"/>
        <w:gridCol w:w="946"/>
        <w:gridCol w:w="1041"/>
        <w:gridCol w:w="973"/>
        <w:gridCol w:w="946"/>
      </w:tblGrid>
      <w:tr>
        <w:tblPrEx>
          <w:tblW w:w="67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</w:p>
        </w:tc>
        <w:tc>
          <w:tcPr>
            <w:tcW w:w="4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2031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2032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2033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2034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2035</w:t>
            </w:r>
          </w:p>
        </w:tc>
      </w:tr>
      <w:tr>
        <w:tblPrEx>
          <w:tblW w:w="67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Investering</w:t>
            </w:r>
          </w:p>
        </w:tc>
        <w:tc>
          <w:tcPr>
            <w:tcW w:w="4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Godkjenningsvedtak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</w:tr>
      <w:tr>
        <w:tblPrEx>
          <w:tblW w:w="67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Oppgradering kommunale bygg</w:t>
            </w:r>
          </w:p>
        </w:tc>
        <w:tc>
          <w:tcPr>
            <w:tcW w:w="4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</w:tr>
      <w:tr>
        <w:tblPrEx>
          <w:tblW w:w="67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Fornying av biler eiendom</w:t>
            </w:r>
          </w:p>
        </w:tc>
        <w:tc>
          <w:tcPr>
            <w:tcW w:w="4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67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Eiendom overgang til EL-biler</w:t>
            </w:r>
          </w:p>
        </w:tc>
        <w:tc>
          <w:tcPr>
            <w:tcW w:w="4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6700" w:type="pct"/>
        </w:tblPrEx>
        <w:tc>
          <w:tcPr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Sum Oppgradering kommunale bygg</w:t>
            </w:r>
          </w:p>
        </w:tc>
        <w:tc>
          <w:tcPr>
            <w:tcW w:w="4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</w:tr>
      <w:tr>
        <w:tblPrEx>
          <w:tblW w:w="67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4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</w:tr>
      <w:tr>
        <w:tblPrEx>
          <w:tblW w:w="67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Attraktivitet, miljø, friområder, mm.</w:t>
            </w:r>
          </w:p>
        </w:tc>
        <w:tc>
          <w:tcPr>
            <w:tcW w:w="4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</w:tr>
      <w:tr>
        <w:tblPrEx>
          <w:tblW w:w="67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Kai og Park på Smietangen</w:t>
            </w:r>
          </w:p>
        </w:tc>
        <w:tc>
          <w:tcPr>
            <w:tcW w:w="4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6700" w:type="pct"/>
        </w:tblPrEx>
        <w:tc>
          <w:tcPr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Sum Attraktivitet, miljø, friområder, mm.</w:t>
            </w:r>
          </w:p>
        </w:tc>
        <w:tc>
          <w:tcPr>
            <w:tcW w:w="4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</w:tr>
      <w:tr>
        <w:tblPrEx>
          <w:tblW w:w="67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4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</w:tr>
      <w:tr>
        <w:tblPrEx>
          <w:tblW w:w="67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Finansiering og øvrige poster</w:t>
            </w:r>
          </w:p>
        </w:tc>
        <w:tc>
          <w:tcPr>
            <w:tcW w:w="4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</w:tr>
      <w:tr>
        <w:tblPrEx>
          <w:tblW w:w="67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Kompensasjon for merverdiavgift</w:t>
            </w:r>
          </w:p>
        </w:tc>
        <w:tc>
          <w:tcPr>
            <w:tcW w:w="4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-9 600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-9 600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-1 600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-1 600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-600</w:t>
            </w:r>
          </w:p>
        </w:tc>
      </w:tr>
      <w:tr>
        <w:tblPrEx>
          <w:tblW w:w="67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Salg av varige driftsmidler</w:t>
            </w:r>
          </w:p>
        </w:tc>
        <w:tc>
          <w:tcPr>
            <w:tcW w:w="4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-5 000</w:t>
            </w:r>
          </w:p>
        </w:tc>
      </w:tr>
      <w:tr>
        <w:tblPrEx>
          <w:tblW w:w="67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Bruk av lån</w:t>
            </w:r>
          </w:p>
        </w:tc>
        <w:tc>
          <w:tcPr>
            <w:tcW w:w="4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-385 399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-380 399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-45 399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-40 399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-11 649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-6 649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-11 649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-6 649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-11 649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-6 649</w:t>
            </w:r>
          </w:p>
        </w:tc>
      </w:tr>
      <w:tr>
        <w:tblPrEx>
          <w:tblW w:w="6700" w:type="pct"/>
        </w:tblPrEx>
        <w:tc>
          <w:tcPr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Sum Finansiering og øvrige poster</w:t>
            </w:r>
          </w:p>
        </w:tc>
        <w:tc>
          <w:tcPr>
            <w:tcW w:w="4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-394 999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-394 999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-46 999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-46 999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-12 249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-12 249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-12 249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-12 249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-12 249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-12 249</w:t>
            </w:r>
          </w:p>
        </w:tc>
      </w:tr>
      <w:tr>
        <w:tblPrEx>
          <w:tblW w:w="67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4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</w:tr>
      <w:tr>
        <w:tblPrEx>
          <w:tblW w:w="6700" w:type="pct"/>
        </w:tblPrEx>
        <w:tc>
          <w:tcPr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Total sum endringer i investeringsbudsjettet</w:t>
            </w:r>
          </w:p>
        </w:tc>
        <w:tc>
          <w:tcPr>
            <w:tcW w:w="4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</w:t>
            </w:r>
          </w:p>
        </w:tc>
      </w:tr>
    </w:tbl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</w:pP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  <w:sectPr>
          <w:type w:val="nextPage"/>
          <w:pgSz w:w="16838" w:h="11906" w:orient="landscape"/>
          <w:pgMar w:top="1440" w:right="1134" w:bottom="1440" w:left="1417" w:header="720" w:footer="720" w:gutter="0"/>
          <w:cols w:space="720"/>
          <w:titlePg/>
          <w:docGrid w:linePitch="360"/>
        </w:sectPr>
      </w:pPr>
    </w:p>
    <w:p w:rsidR="00A77B3E">
      <w:pPr>
        <w:pStyle w:val="Heading3"/>
        <w:spacing w:before="0" w:after="0"/>
        <w:ind w:left="0"/>
        <w:jc w:val="left"/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  <w:t>Eiendom overgang til EL-biler</w:t>
      </w: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pStyle w:val="Heading4"/>
        <w:spacing w:before="0" w:after="0"/>
        <w:ind w:left="0"/>
        <w:jc w:val="left"/>
        <w:rPr>
          <w:rFonts w:ascii="Calibri" w:eastAsia="Calibri" w:hAnsi="Calibri" w:cs="Calibri"/>
          <w:b/>
          <w:i w:val="0"/>
          <w:color w:val="000000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000000"/>
          <w:spacing w:val="0"/>
          <w:sz w:val="24"/>
          <w:u w:val="none"/>
        </w:rPr>
        <w:t>Tiltaksbeskrivelse</w:t>
      </w: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spacing w:before="0" w:after="0"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Kommunestyret har vedtatt at virksomhetene skal fase ut biler som går på fossilt brensel. Eiendom har nå en rekke gamle biler som vi er nødt til å bytte ut da det er begrenset levetid og 15 år gamle biler er ikke like driftssikre som nyere biler. Eiendom har behov for å fornye 7 biler, 5 til Miljøservice og 2 til driftsavdelingen. Virksomheten har totalt 24 biler så dette er bare en utskiftning av de aller eldste bilene. Investeringen er stipulert til 3,5 mill. kroner for 7 EL biler og foreslås fordelt over to år.</w:t>
      </w:r>
    </w:p>
    <w:p w:rsidR="00A77B3E">
      <w:pPr>
        <w:pStyle w:val="Heading3"/>
        <w:jc w:val="left"/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  <w:t>Kai og Park på Smietangen</w:t>
      </w:r>
    </w:p>
    <w:p w:rsidR="00A77B3E">
      <w:pPr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pStyle w:val="Heading4"/>
        <w:jc w:val="left"/>
        <w:rPr>
          <w:rFonts w:ascii="Calibri" w:eastAsia="Calibri" w:hAnsi="Calibri" w:cs="Calibri"/>
          <w:b/>
          <w:i w:val="0"/>
          <w:color w:val="000000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000000"/>
          <w:spacing w:val="0"/>
          <w:sz w:val="24"/>
          <w:u w:val="none"/>
        </w:rPr>
        <w:t>Tiltaksbeskrivelse</w:t>
      </w:r>
    </w:p>
    <w:p w:rsidR="00A77B3E">
      <w:pPr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spacing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Bamble kommune har ved avtale med Smietangen utbygging forpliktet seg å opparbeide tomten lengst syd mot sundet.</w:t>
      </w:r>
    </w:p>
    <w:p w:rsidR="00A77B3E">
      <w:pPr>
        <w:spacing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Prosjektets økonomiske rammer er nedjustert til 10 Mill. kroner, etter vedtak i kommunestyret i juni 2025. I sum er vedtaket nedskalert med tilsammen 20 mill. kroner til en investeringsutgift på 10 mill. kroner, da en del av budsjettet ble overført til Kongens damprosjektet.</w:t>
      </w:r>
    </w:p>
    <w:p w:rsidR="00A77B3E">
      <w:pPr>
        <w:spacing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Det har blitt gjennomført grunnundersøkelser av området, og rapporten viser et høyt innhold av forurensning som har et estimat på ca. 8,65 millioner kroner for å få fjernet. </w:t>
      </w: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br/>
      </w: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br/>
      </w: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Det gjenstår ca. 9,61 millioner kroner av bevilgingen. Det må gjøres en vurdering om prosjektet skal gjennomføres. Det kommer sak til behandling i kommunestyre i høsten 2025. </w:t>
      </w:r>
    </w:p>
    <w:p w:rsidR="00A77B3E">
      <w:pPr>
        <w:spacing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Driftskonsekvenser må legges inn i ramma til kommunalteknikk fra 2027.</w:t>
      </w:r>
    </w:p>
    <w:p w:rsidR="00A77B3E">
      <w:pPr>
        <w:spacing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 </w:t>
      </w:r>
    </w:p>
    <w:p w:rsidR="00A77B3E">
      <w:pPr>
        <w:spacing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 </w:t>
      </w:r>
    </w:p>
    <w:p w:rsidR="00A77B3E">
      <w:pPr>
        <w:spacing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 </w:t>
      </w:r>
    </w:p>
    <w:p w:rsidR="00A77B3E">
      <w:pPr>
        <w:pStyle w:val="Heading4"/>
        <w:jc w:val="left"/>
        <w:rPr>
          <w:rFonts w:ascii="Calibri" w:eastAsia="Calibri" w:hAnsi="Calibri" w:cs="Calibri"/>
          <w:b/>
          <w:i w:val="0"/>
          <w:color w:val="000000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000000"/>
          <w:spacing w:val="0"/>
          <w:sz w:val="24"/>
          <w:u w:val="none"/>
        </w:rPr>
        <w:t>Endringsbeskrivelse</w:t>
      </w:r>
    </w:p>
    <w:p w:rsidR="00A77B3E">
      <w:pPr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spacing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I følge vedtak i formannskapet vil det ikke bli behov for å sette av disse midlene i 2026</w:t>
      </w:r>
    </w:p>
    <w:p w:rsidR="00A77B3E">
      <w:pPr>
        <w:pStyle w:val="Heading2"/>
        <w:jc w:val="left"/>
        <w:rPr>
          <w:rFonts w:ascii="Calibri" w:eastAsia="Calibri" w:hAnsi="Calibri" w:cs="Calibri"/>
          <w:b/>
          <w:i w:val="0"/>
          <w:color w:val="0070C0"/>
          <w:spacing w:val="0"/>
          <w:sz w:val="26"/>
          <w:u w:val="none"/>
        </w:rPr>
      </w:pPr>
      <w:r>
        <w:rPr>
          <w:rFonts w:ascii="Calibri" w:eastAsia="Calibri" w:hAnsi="Calibri" w:cs="Calibri"/>
          <w:b/>
          <w:i w:val="0"/>
          <w:color w:val="0070C0"/>
          <w:spacing w:val="0"/>
          <w:sz w:val="26"/>
          <w:u w:val="none"/>
        </w:rPr>
        <w:t>Verbalforslag</w:t>
      </w:r>
    </w:p>
    <w:p w:rsidR="00A77B3E">
      <w:pPr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pStyle w:val="Heading3"/>
        <w:jc w:val="left"/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  <w:t xml:space="preserve">Deltakelse på leirskole for 7.klassinger </w:t>
      </w:r>
    </w:p>
    <w:p w:rsidR="00A77B3E">
      <w:pPr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spacing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Vi er kjent med at når 7.klassinger fra Bamble deltar på leirskole sammen med elever fra andre kommuner, overnatter våre elever i kun 3 netter, mens de andre får 4 netter. </w:t>
      </w:r>
    </w:p>
    <w:p w:rsidR="00A77B3E">
      <w:pPr>
        <w:spacing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Dette er en ordning som skal ha gitt en symbolsk besparelse i kommunens kostnader, men som kraftig forringer elevenes utbytte av leirskoleoppholdet.</w:t>
      </w:r>
    </w:p>
    <w:p w:rsidR="00A77B3E">
      <w:pPr>
        <w:spacing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Vi synes det er såpass viktig å la elevene fra Bamble få deltatt fullt ut, så vi ber kommunedirektør om å vurdere ordningen på nytt.</w:t>
      </w:r>
    </w:p>
    <w:p w:rsidR="00A77B3E">
      <w:pPr>
        <w:pStyle w:val="Heading2"/>
        <w:jc w:val="left"/>
        <w:rPr>
          <w:rFonts w:ascii="Calibri" w:eastAsia="Calibri" w:hAnsi="Calibri" w:cs="Calibri"/>
          <w:b/>
          <w:i w:val="0"/>
          <w:color w:val="0070C0"/>
          <w:spacing w:val="0"/>
          <w:sz w:val="26"/>
          <w:u w:val="none"/>
        </w:rPr>
      </w:pPr>
      <w:r>
        <w:rPr>
          <w:rFonts w:ascii="Calibri" w:eastAsia="Calibri" w:hAnsi="Calibri" w:cs="Calibri"/>
          <w:b/>
          <w:i w:val="0"/>
          <w:color w:val="0070C0"/>
          <w:spacing w:val="0"/>
          <w:sz w:val="26"/>
          <w:u w:val="none"/>
        </w:rPr>
        <w:t>Vedlegg</w:t>
      </w:r>
    </w:p>
    <w:p w:rsidR="00A77B3E">
      <w:pPr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pStyle w:val="Heading3"/>
        <w:jc w:val="left"/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  <w:t>Bevilgningsoversikt drift etter § 5-4 første ledd</w:t>
      </w:r>
    </w:p>
    <w:p w:rsidR="00A77B3E">
      <w:pPr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jc w:val="left"/>
        <w:rPr>
          <w:rFonts w:ascii="Calibri" w:eastAsia="Calibri" w:hAnsi="Calibri" w:cs="Calibri"/>
          <w:b/>
          <w:i/>
          <w:color w:val="000000"/>
          <w:spacing w:val="0"/>
          <w:sz w:val="16"/>
          <w:u w:val="none"/>
        </w:rPr>
        <w:sectPr>
          <w:type w:val="nextPage"/>
          <w:pgSz w:w="11906" w:h="16838" w:orient="portrait"/>
          <w:pgMar w:top="1440" w:right="1134" w:bottom="1440" w:left="1417" w:header="720" w:footer="720" w:gutter="0"/>
          <w:cols w:space="720"/>
          <w:titlePg/>
          <w:docGrid w:linePitch="360"/>
        </w:sectPr>
      </w:pP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</w:pPr>
      <w:r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  <w:t>Beløp i 1000</w:t>
      </w:r>
    </w:p>
    <w:tbl>
      <w:tblPr>
        <w:tblStyle w:val="GridTable1Light"/>
        <w:tblW w:w="5000" w:type="pct"/>
      </w:tblPr>
      <w:tblGrid>
        <w:gridCol w:w="2853"/>
        <w:gridCol w:w="999"/>
        <w:gridCol w:w="856"/>
        <w:gridCol w:w="999"/>
        <w:gridCol w:w="999"/>
        <w:gridCol w:w="856"/>
        <w:gridCol w:w="999"/>
        <w:gridCol w:w="999"/>
        <w:gridCol w:w="856"/>
        <w:gridCol w:w="999"/>
        <w:gridCol w:w="999"/>
        <w:gridCol w:w="856"/>
        <w:gridCol w:w="999"/>
      </w:tblGrid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2026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2027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2028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2029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Rammetilskudd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-565 560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-7 700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-573 260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-572 381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-8 690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-581 071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-574 992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-8 690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-583 682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-576 529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-8 690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-585 219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Inntekts- og formuesskatt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-589 077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-589 077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-590 675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-591 675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-592 022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-593 022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-593 168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-594 168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Eiendomsskatt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-87 704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20 500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-67 204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-88 350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20 500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-67 850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-89 173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20 500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-68 673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-89 595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20 500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-69 095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Andre generelle driftsinntekter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-4 250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-4 250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-4 250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-4 250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-4 250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-4 250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-4 250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-4 250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Sum generelle driftsinntekter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-1 246 591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12 800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-1 233 791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-1 255 656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10 810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-1 244 846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-1 260 437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10 810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-1 249 627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-1 263 542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10 810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-1 252 732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Korrigert sum bevilgninger drift, netto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1 140 314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-9 340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1 130 974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1 110 246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-17 710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1 092 536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1 069 760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-13 010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1 056 750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1 036 382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-14 010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1 022 372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Avskrivninger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87 000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87 000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87 500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87 500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88 000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88 000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89 000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89 000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Sum netto driftsutgifter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1 227 314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-9 340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1 217 974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1 197 746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-17 710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1 180 036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1 157 760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-13 010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1 144 750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1 125 382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-14 010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1 111 372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Brutto driftsresultat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-19 277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3 460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-15 817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-57 910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-6 900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-64 810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-102 677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-2 200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-104 877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-138 160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-3 200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-141 360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Renteinntekter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-21 017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-21 017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-23 548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-23 548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-22 507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-22 507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-23 154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-23 154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Utbytter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-23 413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-3 359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-26 772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-15 800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-15 800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-15 800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-15 800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-15 800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-15 800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Gevinster og tap på finansielle omløpsmidler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-12 697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-12 697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-12 697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-12 697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-12 697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-12 697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-12 697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-12 697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Renteutgifter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96 906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96 906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98 095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-492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97 603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104 335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-696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103 639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123 354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-896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122 458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Avdrag på lån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69 661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69 661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68 808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-363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68 445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68 129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-530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67 599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68 234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-697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67 537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Netto finansutgifter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109 440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-3 359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106 081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114 858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-855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114 003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121 460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-1 226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120 234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139 937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-1 593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138 344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Motpost avskrivninger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-87 000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-87 000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-87 500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-87 500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-88 000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-88 000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-89 000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-89 000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Netto driftsresultat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3 162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101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3 263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-30 552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-7 755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-38 307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-69 217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-3 426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-72 643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-87 223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-4 793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-92 016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Overføring til investering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3 906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3 906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3 906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3 906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3 906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3 906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3 906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3 906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Avsetninger til bundne driftsfond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10 184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10 184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5 683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5 683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673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673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96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96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Bruk av bundne driftsfond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225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225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-884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-884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-2 318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-2 318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-6 298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-6 298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Avsetninger til disposisjonsfond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3 500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21 847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7 755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29 602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66 957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3 426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70 383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89 519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4 793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94 312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Bruk av disposisjonsfond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-20 977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-101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-21 078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Dekning av tidligere års merforbruk i driftsregnskapet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Sum disponeringer eller dekning av netto driftsresultat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-3 162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-101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-3 263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30 552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7 755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38 307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69 217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3 426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72 643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87 223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4 793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92 016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Merforbruk/mindreforbruk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</w:tr>
    </w:tbl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</w:pP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  <w:sectPr>
          <w:type w:val="nextPage"/>
          <w:pgSz w:w="16838" w:h="11906" w:orient="landscape"/>
          <w:pgMar w:top="1440" w:right="1134" w:bottom="1440" w:left="1417" w:header="720" w:footer="720" w:gutter="0"/>
          <w:cols w:space="720"/>
          <w:titlePg/>
          <w:docGrid w:linePitch="360"/>
        </w:sectPr>
      </w:pPr>
    </w:p>
    <w:p w:rsidR="00A77B3E">
      <w:pPr>
        <w:pStyle w:val="Heading3"/>
        <w:spacing w:before="0" w:after="0"/>
        <w:ind w:left="0"/>
        <w:jc w:val="left"/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  <w:t>Rammetilskudd</w:t>
      </w: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spacing w:before="0" w:after="0"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Vi legger til forventet økt rammetilskudd fra 2026 på 7,7 mill pr.år.</w:t>
      </w:r>
    </w:p>
    <w:p w:rsidR="00A77B3E">
      <w:pPr>
        <w:spacing w:before="0" w:after="0"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Vi forventer at ferdig regulerte nye boligtomter vil kunne bidra til en større innflytting over hele kommunen.</w:t>
      </w:r>
    </w:p>
    <w:p w:rsidR="00A77B3E">
      <w:pPr>
        <w:spacing w:before="0" w:after="0"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Meget forsiktig beregnet til 30 ekstra innbyggere pr.år fra 2027. Tilskudd pr.innbygger: ca.kr.33.000 </w:t>
      </w:r>
    </w:p>
    <w:p w:rsidR="00A77B3E">
      <w:pPr>
        <w:spacing w:before="0" w:after="0"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 </w:t>
      </w:r>
    </w:p>
    <w:p w:rsidR="00A77B3E">
      <w:pPr>
        <w:pStyle w:val="Heading3"/>
        <w:jc w:val="left"/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  <w:t>Inntekts- og formuesskatt</w:t>
      </w:r>
    </w:p>
    <w:p w:rsidR="00A77B3E">
      <w:pPr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spacing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Økning i skatteinngang som følge av økt befolkning</w:t>
      </w:r>
    </w:p>
    <w:p w:rsidR="00A77B3E">
      <w:pPr>
        <w:pStyle w:val="Heading3"/>
        <w:jc w:val="left"/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  <w:t>Eiendomsskatt</w:t>
      </w:r>
    </w:p>
    <w:p w:rsidR="00A77B3E">
      <w:pPr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spacing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Vi øker ikke eiendomsskatten med 20,5 millioner.</w:t>
      </w:r>
    </w:p>
    <w:p w:rsidR="00A77B3E">
      <w:pPr>
        <w:spacing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 </w:t>
      </w:r>
    </w:p>
    <w:p w:rsidR="00A77B3E">
      <w:pPr>
        <w:pStyle w:val="Heading3"/>
        <w:jc w:val="left"/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  <w:t>Bevilgningsoversikt drift etter § 5-4 andre ledd</w:t>
      </w:r>
    </w:p>
    <w:p w:rsidR="00A77B3E">
      <w:pPr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jc w:val="left"/>
        <w:rPr>
          <w:rFonts w:ascii="Calibri" w:eastAsia="Calibri" w:hAnsi="Calibri" w:cs="Calibri"/>
          <w:b/>
          <w:i/>
          <w:color w:val="000000"/>
          <w:spacing w:val="0"/>
          <w:sz w:val="16"/>
          <w:u w:val="none"/>
        </w:rPr>
        <w:sectPr>
          <w:type w:val="nextPage"/>
          <w:pgSz w:w="11906" w:h="16838" w:orient="portrait"/>
          <w:pgMar w:top="1440" w:right="1134" w:bottom="1440" w:left="1417" w:header="720" w:footer="720" w:gutter="0"/>
          <w:cols w:space="720"/>
          <w:titlePg/>
          <w:docGrid w:linePitch="360"/>
        </w:sectPr>
      </w:pP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</w:pPr>
      <w:r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  <w:t>Beløp i 1000</w:t>
      </w:r>
    </w:p>
    <w:tbl>
      <w:tblPr>
        <w:tblStyle w:val="GridTable1Light"/>
        <w:tblW w:w="5000" w:type="pct"/>
      </w:tblPr>
      <w:tblGrid>
        <w:gridCol w:w="2853"/>
        <w:gridCol w:w="999"/>
        <w:gridCol w:w="856"/>
        <w:gridCol w:w="999"/>
        <w:gridCol w:w="999"/>
        <w:gridCol w:w="856"/>
        <w:gridCol w:w="999"/>
        <w:gridCol w:w="999"/>
        <w:gridCol w:w="856"/>
        <w:gridCol w:w="999"/>
        <w:gridCol w:w="999"/>
        <w:gridCol w:w="856"/>
        <w:gridCol w:w="999"/>
      </w:tblGrid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2026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2027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2028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2029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Samfunn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99 385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-4 100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95 285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80 496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-5 800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74 696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70 513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70 413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57 146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57 046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Oppvekst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411 011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1 700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412 711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409 915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-670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409 245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409 765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330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410 095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407 698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330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408 028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Velferd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499 265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1 560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500 825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479 235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1 560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480 795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465 637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1 560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467 197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465 637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1 560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467 197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Kommunedirektør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106 066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106 066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103 550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104 250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102 850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103 550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102 850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103 550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Folkevalgte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7 371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7 371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6 724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6 724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6 724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6 724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6 724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6 724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Finansiering og sentrale poster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27 624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-8 500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19 124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35 124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-13 500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21 624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12 624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-15 500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-2 876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-9 876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-16 500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-26 376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Herav: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Avskrivinger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Netto renteutgifter og -inntekter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Overføring til investering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Avsetninger til bundne driftsfond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10 184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10 184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5 683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5 683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673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673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96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96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Bruk av bundne driftsfond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225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225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-884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-884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-2 318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-2 318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-6 298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-6 298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Avsetninger til disposisjonsfond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Bruk av disposisjonsfond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Korrigert sum bevilgninger drift, netto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1 140 314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-9 340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1 130 974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1 110 246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-17 710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1 092 536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1 069 760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-13 010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1 056 750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1 036 382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-14 010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1 022 372</w:t>
            </w:r>
          </w:p>
        </w:tc>
      </w:tr>
    </w:tbl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</w:pP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  <w:sectPr>
          <w:type w:val="nextPage"/>
          <w:pgSz w:w="16838" w:h="11906" w:orient="landscape"/>
          <w:pgMar w:top="1440" w:right="1134" w:bottom="1440" w:left="1417" w:header="720" w:footer="720" w:gutter="0"/>
          <w:cols w:space="720"/>
          <w:titlePg/>
          <w:docGrid w:linePitch="360"/>
        </w:sectPr>
      </w:pPr>
    </w:p>
    <w:p w:rsidR="00A77B3E">
      <w:pPr>
        <w:pStyle w:val="Heading3"/>
        <w:spacing w:before="0" w:after="0"/>
        <w:ind w:left="0"/>
        <w:jc w:val="left"/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  <w:t>Bevilgningsoversikt investering etter § 5-5 første ledd 2026-2030</w:t>
      </w: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/>
          <w:i/>
          <w:color w:val="000000"/>
          <w:spacing w:val="0"/>
          <w:sz w:val="16"/>
          <w:u w:val="none"/>
        </w:rPr>
        <w:sectPr>
          <w:type w:val="nextPage"/>
          <w:pgSz w:w="11906" w:h="16838" w:orient="portrait"/>
          <w:pgMar w:top="1440" w:right="1134" w:bottom="1440" w:left="1417" w:header="720" w:footer="720" w:gutter="0"/>
          <w:cols w:space="720"/>
          <w:titlePg/>
          <w:docGrid w:linePitch="360"/>
        </w:sectPr>
      </w:pP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</w:pPr>
      <w:r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  <w:t>Beløp i 1000</w:t>
      </w:r>
    </w:p>
    <w:tbl>
      <w:tblPr>
        <w:tblStyle w:val="GridTable1Light"/>
        <w:tblW w:w="6250" w:type="pct"/>
      </w:tblPr>
      <w:tblGrid>
        <w:gridCol w:w="2783"/>
        <w:gridCol w:w="1047"/>
        <w:gridCol w:w="993"/>
        <w:gridCol w:w="971"/>
        <w:gridCol w:w="1047"/>
        <w:gridCol w:w="993"/>
        <w:gridCol w:w="971"/>
        <w:gridCol w:w="1047"/>
        <w:gridCol w:w="993"/>
        <w:gridCol w:w="971"/>
        <w:gridCol w:w="1047"/>
        <w:gridCol w:w="993"/>
        <w:gridCol w:w="971"/>
        <w:gridCol w:w="1047"/>
        <w:gridCol w:w="993"/>
        <w:gridCol w:w="971"/>
      </w:tblGrid>
      <w:tr>
        <w:tblPrEx>
          <w:tblW w:w="625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2026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2027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2028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2029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2030</w:t>
            </w: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Investeringer i varige driftsmidler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252 789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-7 000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245 789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175 907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175 907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327 925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327 925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621 250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621 250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526 100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526 100</w:t>
            </w: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Tilskudd til andres investeringer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Investeringer i aksjer og andeler i selskaper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3 906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3 906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3 906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3 906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3 906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3 906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3 906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3 906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3 649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3 649</w:t>
            </w: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Sum investeringsutgifter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257 695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-7 000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250 695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180 813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180 813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332 831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332 831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626 156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626 156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530 749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530 749</w:t>
            </w: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Kompensasjon for merverdiavgift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-31 770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1 100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-30 670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-8 733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-8 733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-31 300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-31 300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-57 000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-57 000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-36 600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-36 600</w:t>
            </w: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Tilskudd fra andre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-48 000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-48 000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-47 000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-47 000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-71 000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-71 000</w:t>
            </w: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Salg av varige driftsmidler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-5 000</w:t>
            </w: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Bruk av lån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-174 019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10 900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-163 119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-168 174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-163 174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-250 625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-245 625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-560 250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-555 250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-423 149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-418 149</w:t>
            </w: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Sum investeringsinntekter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-253 789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7 000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-246 789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-176 907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-176 907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-328 925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-328 925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-622 250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-622 250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-530 749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-530 749</w:t>
            </w: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Videreutlån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40 000</w:t>
            </w: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Bruk av lån til videreutlån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-40 000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-40 000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-40 000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-40 000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-40 000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-40 000</w:t>
            </w: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Avdrag på lån til videreutlån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32 100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32 100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34 000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34 000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34 000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34 000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34 000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34 000</w:t>
            </w: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Mottatte avdrag på videreutlån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-32 100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-32 100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-34 000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-34 000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-34 000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-34 000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-34 000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-34 000</w:t>
            </w: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Netto utgifter videreutlån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Overføring fra drift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-3 906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-3 906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-3 906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-3 906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-3 906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-3 906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-3 906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-3 906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Sum overføring fra drift og netto avsetninger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-3 906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-3 906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-3 906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-3 906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-3 906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-3 906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-3 906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-3 906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Udekket/udisponert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</w:tr>
    </w:tbl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</w:pP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  <w:sectPr>
          <w:type w:val="nextPage"/>
          <w:pgSz w:w="16838" w:h="11906" w:orient="landscape"/>
          <w:pgMar w:top="1440" w:right="1134" w:bottom="1440" w:left="1417" w:header="720" w:footer="720" w:gutter="0"/>
          <w:cols w:space="720"/>
          <w:titlePg/>
          <w:docGrid w:linePitch="360"/>
        </w:sectPr>
      </w:pPr>
    </w:p>
    <w:p w:rsidR="00A77B3E">
      <w:pPr>
        <w:pStyle w:val="Heading3"/>
        <w:spacing w:before="0" w:after="0"/>
        <w:ind w:left="0"/>
        <w:jc w:val="left"/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  <w:t>Bevilgningsoversikt investering etter § 5-5 første ledd 2031-2035</w:t>
      </w: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sectPr>
          <w:type w:val="nextPage"/>
          <w:pgSz w:w="11906" w:h="16838" w:orient="portrait"/>
          <w:pgMar w:top="1440" w:right="1134" w:bottom="1440" w:left="1417" w:header="720" w:footer="720" w:gutter="0"/>
          <w:cols w:space="720"/>
          <w:titlePg/>
          <w:docGrid w:linePitch="360"/>
        </w:sectPr>
      </w:pP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</w:pPr>
      <w:r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  <w:t>Beløp i 1000</w:t>
      </w:r>
    </w:p>
    <w:tbl>
      <w:tblPr>
        <w:tblStyle w:val="GridTable1Light"/>
        <w:tblW w:w="6250" w:type="pct"/>
      </w:tblPr>
      <w:tblGrid>
        <w:gridCol w:w="2783"/>
        <w:gridCol w:w="1047"/>
        <w:gridCol w:w="993"/>
        <w:gridCol w:w="971"/>
        <w:gridCol w:w="1047"/>
        <w:gridCol w:w="993"/>
        <w:gridCol w:w="971"/>
        <w:gridCol w:w="1047"/>
        <w:gridCol w:w="993"/>
        <w:gridCol w:w="971"/>
        <w:gridCol w:w="1047"/>
        <w:gridCol w:w="993"/>
        <w:gridCol w:w="971"/>
        <w:gridCol w:w="1047"/>
        <w:gridCol w:w="993"/>
        <w:gridCol w:w="971"/>
      </w:tblGrid>
      <w:tr>
        <w:tblPrEx>
          <w:tblW w:w="625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2031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2032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2033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2034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2035</w:t>
            </w: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Investeringer i varige driftsmidler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390 350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390 350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42 350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42 350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7 600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7 600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7 600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7 600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7 600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7 600</w:t>
            </w: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Tilskudd til andres investeringer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Investeringer i aksjer og andeler i selskaper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3 649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3 649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3 649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3 649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3 649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3 649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3 649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3 649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3 649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3 649</w:t>
            </w: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Sum investeringsutgifter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394 999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394 999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46 999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46 999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12 249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12 249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12 249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12 249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12 249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12 249</w:t>
            </w: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Kompensasjon for merverdiavgift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-9 600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-9 600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-1 600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-1 600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-600</w:t>
            </w: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Tilskudd fra andre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Salg av varige driftsmidler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-5 000</w:t>
            </w: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Bruk av lån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-385 399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-380 399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-45 399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-40 399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-11 649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-6 649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-11 649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-6 649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-11 649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-6 649</w:t>
            </w: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Sum investeringsinntekter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-394 999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-394 999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-46 999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-46 999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-12 249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-12 249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-12 249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-12 249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-12 249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-12 249</w:t>
            </w: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Videreutlån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40 000</w:t>
            </w: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Bruk av lån til videreutlån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-40 000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-40 000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-40 000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-40 000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-40 000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-40 000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-40 000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-40 000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-40 000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-40 000</w:t>
            </w: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Avdrag på lån til videreutlån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34 000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34 000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34 000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34 000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34 000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34 000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34 000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34 000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34 000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34 000</w:t>
            </w: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Mottatte avdrag på videreutlån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-34 000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-34 000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-34 000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-34 000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-34 000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-34 000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-34 000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-34 000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-34 000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-34 000</w:t>
            </w: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Netto utgifter videreutlån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Overføring fra drift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Sum overføring fra drift og netto avsetninger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Udekket/udisponert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</w:tr>
    </w:tbl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</w:pP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  <w:sectPr>
          <w:type w:val="nextPage"/>
          <w:pgSz w:w="16838" w:h="11906" w:orient="landscape"/>
          <w:pgMar w:top="1440" w:right="1134" w:bottom="1440" w:left="1417" w:header="720" w:footer="720" w:gutter="0"/>
          <w:cols w:space="720"/>
          <w:titlePg/>
          <w:docGrid w:linePitch="360"/>
        </w:sectPr>
      </w:pPr>
    </w:p>
    <w:p w:rsidR="00A77B3E">
      <w:pPr>
        <w:pStyle w:val="Heading3"/>
        <w:spacing w:before="0" w:after="0"/>
        <w:ind w:left="0"/>
        <w:jc w:val="left"/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  <w:t>Salg av varige driftsmidler</w:t>
      </w: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spacing w:before="0" w:after="0"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Vi budsjetterer meget forsiktig med å selge eiendommer for gjennomsnittlig 5 mill pr.år.</w:t>
      </w:r>
    </w:p>
    <w:p w:rsidR="00A77B3E">
      <w:pPr>
        <w:pStyle w:val="Heading3"/>
        <w:jc w:val="left"/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  <w:t>Bevilgningsoversikt investering etter § 5-5 andre ledd</w:t>
      </w:r>
    </w:p>
    <w:p w:rsidR="00A77B3E">
      <w:pPr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pStyle w:val="Heading3"/>
        <w:jc w:val="left"/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  <w:t>Investeringer 2026-2030</w:t>
      </w:r>
    </w:p>
    <w:p w:rsidR="00A77B3E">
      <w:pPr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jc w:val="left"/>
        <w:rPr>
          <w:rFonts w:ascii="Calibri" w:eastAsia="Calibri" w:hAnsi="Calibri" w:cs="Calibri"/>
          <w:b/>
          <w:i/>
          <w:color w:val="000000"/>
          <w:spacing w:val="0"/>
          <w:sz w:val="16"/>
          <w:u w:val="none"/>
        </w:rPr>
        <w:sectPr>
          <w:type w:val="nextPage"/>
          <w:pgSz w:w="11906" w:h="16838" w:orient="portrait"/>
          <w:pgMar w:top="1440" w:right="1134" w:bottom="1440" w:left="1417" w:header="720" w:footer="720" w:gutter="0"/>
          <w:cols w:space="720"/>
          <w:titlePg/>
          <w:docGrid w:linePitch="360"/>
        </w:sectPr>
      </w:pP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</w:pPr>
      <w:r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  <w:t>Beløp i 1000</w:t>
      </w:r>
    </w:p>
    <w:tbl>
      <w:tblPr>
        <w:tblStyle w:val="GridTable1Light"/>
        <w:tblW w:w="6250" w:type="pct"/>
      </w:tblPr>
      <w:tblGrid>
        <w:gridCol w:w="2698"/>
        <w:gridCol w:w="1052"/>
        <w:gridCol w:w="998"/>
        <w:gridCol w:w="978"/>
        <w:gridCol w:w="1052"/>
        <w:gridCol w:w="998"/>
        <w:gridCol w:w="978"/>
        <w:gridCol w:w="1052"/>
        <w:gridCol w:w="998"/>
        <w:gridCol w:w="978"/>
        <w:gridCol w:w="1052"/>
        <w:gridCol w:w="998"/>
        <w:gridCol w:w="978"/>
        <w:gridCol w:w="1052"/>
        <w:gridCol w:w="998"/>
        <w:gridCol w:w="978"/>
      </w:tblGrid>
      <w:tr>
        <w:tblPrEx>
          <w:tblW w:w="625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2026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2027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2028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2029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2030</w:t>
            </w: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Oppgradering kommunale bygg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13 720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11 720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11 720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11 720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11 000</w:t>
            </w: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IKT investeringer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9 000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9 000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9 000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9 000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7 600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7 600</w:t>
            </w: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Attraktivitet, miljø, friområder, mm.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6 000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4 300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4 300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4 625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4 625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4 625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4 625</w:t>
            </w: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Investeringer oppvekst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21 403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21 403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15 062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15 062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48 000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48 000</w:t>
            </w: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Boligutvikling, boligtomter, boligbygging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Vann, avløp, renovasjon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67 250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67 250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118 000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118 000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159 750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159 750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317 000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317 000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311 000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311 000</w:t>
            </w: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Veg og trafikksikkerhet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5 625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5 625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8 125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8 125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8 125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8 125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8 125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8 125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8 125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8 125</w:t>
            </w: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Investeringer helse og omsorg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122 791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122 791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135 750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135 750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271 500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271 500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135 750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135 750</w:t>
            </w: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Sum Investeringer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252 789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-7 000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245 789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175 907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175 907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327 925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327 925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621 250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621 250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526 100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526 100</w:t>
            </w:r>
          </w:p>
        </w:tc>
      </w:tr>
    </w:tbl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</w:pP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  <w:sectPr>
          <w:type w:val="nextPage"/>
          <w:pgSz w:w="16838" w:h="11906" w:orient="landscape"/>
          <w:pgMar w:top="1440" w:right="1134" w:bottom="1440" w:left="1417" w:header="720" w:footer="720" w:gutter="0"/>
          <w:cols w:space="720"/>
          <w:titlePg/>
          <w:docGrid w:linePitch="360"/>
        </w:sectPr>
      </w:pPr>
    </w:p>
    <w:p w:rsidR="00A77B3E">
      <w:pPr>
        <w:pStyle w:val="Heading3"/>
        <w:spacing w:before="0" w:after="0"/>
        <w:ind w:left="0"/>
        <w:jc w:val="left"/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  <w:t>Investeringer 2031-2035</w:t>
      </w: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sectPr>
          <w:type w:val="nextPage"/>
          <w:pgSz w:w="11906" w:h="16838" w:orient="portrait"/>
          <w:pgMar w:top="1440" w:right="1134" w:bottom="1440" w:left="1417" w:header="720" w:footer="720" w:gutter="0"/>
          <w:cols w:space="720"/>
          <w:titlePg/>
          <w:docGrid w:linePitch="360"/>
        </w:sectPr>
      </w:pP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</w:pPr>
      <w:r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  <w:t>Beløp i 1000</w:t>
      </w:r>
    </w:p>
    <w:tbl>
      <w:tblPr>
        <w:tblStyle w:val="GridTable1Light"/>
        <w:tblW w:w="6250" w:type="pct"/>
      </w:tblPr>
      <w:tblGrid>
        <w:gridCol w:w="2698"/>
        <w:gridCol w:w="1052"/>
        <w:gridCol w:w="998"/>
        <w:gridCol w:w="978"/>
        <w:gridCol w:w="1052"/>
        <w:gridCol w:w="998"/>
        <w:gridCol w:w="978"/>
        <w:gridCol w:w="1052"/>
        <w:gridCol w:w="998"/>
        <w:gridCol w:w="978"/>
        <w:gridCol w:w="1052"/>
        <w:gridCol w:w="998"/>
        <w:gridCol w:w="978"/>
        <w:gridCol w:w="1052"/>
        <w:gridCol w:w="998"/>
        <w:gridCol w:w="978"/>
      </w:tblGrid>
      <w:tr>
        <w:tblPrEx>
          <w:tblW w:w="625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2031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2032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2033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2034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2035</w:t>
            </w: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Oppgradering kommunale bygg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IKT investeringer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7 600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7 600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7 600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7 600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7 600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7 600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7 600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7 600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7 600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7 600</w:t>
            </w: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Attraktivitet, miljø, friområder, mm.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4 625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4 625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4 625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4 625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Investeringer oppvekst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48 000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48 000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Boligutvikling, boligtomter, boligbygging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Vann, avløp, renovasjon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311 000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311 000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Veg og trafikksikkerhet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8 125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8 125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8 125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8 125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Investeringer helse og omsorg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Sum Investeringer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390 350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390 350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42 350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42 350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7 600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7 600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7 600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7 600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7 600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7 600</w:t>
            </w:r>
          </w:p>
        </w:tc>
      </w:tr>
    </w:tbl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</w:pP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  <w:sectPr>
          <w:type w:val="nextPage"/>
          <w:pgSz w:w="16838" w:h="11906" w:orient="landscape"/>
          <w:pgMar w:top="1440" w:right="1134" w:bottom="1440" w:left="1417" w:header="720" w:footer="720" w:gutter="0"/>
          <w:cols w:space="720"/>
          <w:titlePg/>
          <w:docGrid w:linePitch="360"/>
        </w:sectPr>
      </w:pPr>
    </w:p>
    <w:p w:rsidR="00A77B3E">
      <w:pPr>
        <w:pStyle w:val="Heading3"/>
        <w:spacing w:before="0" w:after="0"/>
        <w:ind w:left="0"/>
        <w:jc w:val="left"/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  <w:t>Tilskudd til andres investeringer 2026-2030</w:t>
      </w: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/>
          <w:i/>
          <w:color w:val="000000"/>
          <w:spacing w:val="0"/>
          <w:sz w:val="16"/>
          <w:u w:val="none"/>
        </w:rPr>
        <w:sectPr>
          <w:type w:val="nextPage"/>
          <w:pgSz w:w="11906" w:h="16838" w:orient="portrait"/>
          <w:pgMar w:top="1440" w:right="1134" w:bottom="1440" w:left="1417" w:header="720" w:footer="720" w:gutter="0"/>
          <w:cols w:space="720"/>
          <w:titlePg/>
          <w:docGrid w:linePitch="360"/>
        </w:sectPr>
      </w:pP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</w:pPr>
      <w:r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  <w:t>Beløp i 1000</w:t>
      </w:r>
    </w:p>
    <w:tbl>
      <w:tblPr>
        <w:tblStyle w:val="GridTable1Light"/>
        <w:tblW w:w="6250" w:type="pct"/>
      </w:tblPr>
      <w:tblGrid>
        <w:gridCol w:w="2864"/>
        <w:gridCol w:w="1043"/>
        <w:gridCol w:w="987"/>
        <w:gridCol w:w="965"/>
        <w:gridCol w:w="1043"/>
        <w:gridCol w:w="987"/>
        <w:gridCol w:w="965"/>
        <w:gridCol w:w="1043"/>
        <w:gridCol w:w="987"/>
        <w:gridCol w:w="965"/>
        <w:gridCol w:w="1043"/>
        <w:gridCol w:w="987"/>
        <w:gridCol w:w="965"/>
        <w:gridCol w:w="1043"/>
        <w:gridCol w:w="987"/>
        <w:gridCol w:w="965"/>
      </w:tblGrid>
      <w:tr>
        <w:tblPrEx>
          <w:tblW w:w="625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2026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2027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2028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2029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2030</w:t>
            </w: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KIR-1: Felles investeringsprosjekter, Ramme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Sum Investeringer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1 000</w:t>
            </w:r>
          </w:p>
        </w:tc>
      </w:tr>
    </w:tbl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</w:pP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  <w:sectPr>
          <w:type w:val="nextPage"/>
          <w:pgSz w:w="16838" w:h="11906" w:orient="landscape"/>
          <w:pgMar w:top="1440" w:right="1134" w:bottom="1440" w:left="1417" w:header="720" w:footer="720" w:gutter="0"/>
          <w:cols w:space="720"/>
          <w:titlePg/>
          <w:docGrid w:linePitch="360"/>
        </w:sectPr>
      </w:pPr>
    </w:p>
    <w:p w:rsidR="00A77B3E">
      <w:pPr>
        <w:pStyle w:val="Heading3"/>
        <w:spacing w:before="0" w:after="0"/>
        <w:ind w:left="0"/>
        <w:jc w:val="left"/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  <w:t>Tilskudd til andres investeringer 2031-2035</w:t>
      </w: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sectPr>
          <w:type w:val="nextPage"/>
          <w:pgSz w:w="11906" w:h="16838" w:orient="portrait"/>
          <w:pgMar w:top="1440" w:right="1134" w:bottom="1440" w:left="1417" w:header="720" w:footer="720" w:gutter="0"/>
          <w:cols w:space="720"/>
          <w:titlePg/>
          <w:docGrid w:linePitch="360"/>
        </w:sectPr>
      </w:pP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</w:pPr>
      <w:r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  <w:t>Beløp i 1000</w:t>
      </w:r>
    </w:p>
    <w:tbl>
      <w:tblPr>
        <w:tblStyle w:val="GridTable1Light"/>
        <w:tblW w:w="6250" w:type="pct"/>
      </w:tblPr>
      <w:tblGrid>
        <w:gridCol w:w="2864"/>
        <w:gridCol w:w="1043"/>
        <w:gridCol w:w="987"/>
        <w:gridCol w:w="965"/>
        <w:gridCol w:w="1043"/>
        <w:gridCol w:w="987"/>
        <w:gridCol w:w="965"/>
        <w:gridCol w:w="1043"/>
        <w:gridCol w:w="987"/>
        <w:gridCol w:w="965"/>
        <w:gridCol w:w="1043"/>
        <w:gridCol w:w="987"/>
        <w:gridCol w:w="965"/>
        <w:gridCol w:w="1043"/>
        <w:gridCol w:w="987"/>
        <w:gridCol w:w="965"/>
      </w:tblGrid>
      <w:tr>
        <w:tblPrEx>
          <w:tblW w:w="625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2031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2032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2033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2034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2035</w:t>
            </w: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KIR-1: Felles investeringsprosjekter, Ramme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Sum Investeringer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1 000</w:t>
            </w:r>
          </w:p>
        </w:tc>
      </w:tr>
    </w:tbl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</w:pP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  <w:sectPr>
          <w:type w:val="nextPage"/>
          <w:pgSz w:w="16838" w:h="11906" w:orient="landscape"/>
          <w:pgMar w:top="1440" w:right="1134" w:bottom="1440" w:left="1417" w:header="720" w:footer="720" w:gutter="0"/>
          <w:cols w:space="720"/>
          <w:titlePg/>
          <w:docGrid w:linePitch="360"/>
        </w:sectPr>
      </w:pPr>
    </w:p>
    <w:p w:rsidR="00A77B3E">
      <w:pPr>
        <w:pStyle w:val="Heading3"/>
        <w:spacing w:before="0" w:after="0"/>
        <w:ind w:left="0"/>
        <w:jc w:val="left"/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  <w:t>Investeringer i aksjer og andeler i selskaper 2026-2030</w:t>
      </w: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/>
          <w:i/>
          <w:color w:val="000000"/>
          <w:spacing w:val="0"/>
          <w:sz w:val="16"/>
          <w:u w:val="none"/>
        </w:rPr>
        <w:sectPr>
          <w:type w:val="nextPage"/>
          <w:pgSz w:w="11906" w:h="16838" w:orient="portrait"/>
          <w:pgMar w:top="1440" w:right="1134" w:bottom="1440" w:left="1417" w:header="720" w:footer="720" w:gutter="0"/>
          <w:cols w:space="720"/>
          <w:titlePg/>
          <w:docGrid w:linePitch="360"/>
        </w:sectPr>
      </w:pP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</w:pPr>
      <w:r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  <w:t>Beløp i 1000</w:t>
      </w:r>
    </w:p>
    <w:tbl>
      <w:tblPr>
        <w:tblStyle w:val="GridTable1Light"/>
        <w:tblW w:w="6250" w:type="pct"/>
      </w:tblPr>
      <w:tblGrid>
        <w:gridCol w:w="2812"/>
        <w:gridCol w:w="1045"/>
        <w:gridCol w:w="991"/>
        <w:gridCol w:w="969"/>
        <w:gridCol w:w="1045"/>
        <w:gridCol w:w="991"/>
        <w:gridCol w:w="969"/>
        <w:gridCol w:w="1045"/>
        <w:gridCol w:w="991"/>
        <w:gridCol w:w="969"/>
        <w:gridCol w:w="1045"/>
        <w:gridCol w:w="991"/>
        <w:gridCol w:w="969"/>
        <w:gridCol w:w="1045"/>
        <w:gridCol w:w="991"/>
        <w:gridCol w:w="969"/>
      </w:tblGrid>
      <w:tr>
        <w:tblPrEx>
          <w:tblW w:w="625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2026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2027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2028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2029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2030</w:t>
            </w: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FIN-1: Egenkapitalinnskudd KLP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3 906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3 906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3 906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3 906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3 906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3 906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3 906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3 906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3 649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3 649</w:t>
            </w: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Sum Investeringer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3 906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3 906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3 906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3 906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3 906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3 906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3 906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3 906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3 649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3 649</w:t>
            </w:r>
          </w:p>
        </w:tc>
      </w:tr>
    </w:tbl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</w:pP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  <w:sectPr>
          <w:type w:val="nextPage"/>
          <w:pgSz w:w="16838" w:h="11906" w:orient="landscape"/>
          <w:pgMar w:top="1440" w:right="1134" w:bottom="1440" w:left="1417" w:header="720" w:footer="720" w:gutter="0"/>
          <w:cols w:space="720"/>
          <w:titlePg/>
          <w:docGrid w:linePitch="360"/>
        </w:sectPr>
      </w:pPr>
    </w:p>
    <w:p w:rsidR="00A77B3E">
      <w:pPr>
        <w:pStyle w:val="Heading3"/>
        <w:spacing w:before="0" w:after="0"/>
        <w:ind w:left="0"/>
        <w:jc w:val="left"/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  <w:t>Investeringer i aksjer og andeler i selskaper 2031-2035</w:t>
      </w: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sectPr>
          <w:type w:val="nextPage"/>
          <w:pgSz w:w="11906" w:h="16838" w:orient="portrait"/>
          <w:pgMar w:top="1440" w:right="1134" w:bottom="1440" w:left="1417" w:header="720" w:footer="720" w:gutter="0"/>
          <w:cols w:space="720"/>
          <w:titlePg/>
          <w:docGrid w:linePitch="360"/>
        </w:sectPr>
      </w:pP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</w:pPr>
      <w:r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  <w:t>Beløp i 1000</w:t>
      </w:r>
    </w:p>
    <w:tbl>
      <w:tblPr>
        <w:tblStyle w:val="GridTable1Light"/>
        <w:tblW w:w="6250" w:type="pct"/>
      </w:tblPr>
      <w:tblGrid>
        <w:gridCol w:w="2812"/>
        <w:gridCol w:w="1045"/>
        <w:gridCol w:w="991"/>
        <w:gridCol w:w="969"/>
        <w:gridCol w:w="1045"/>
        <w:gridCol w:w="991"/>
        <w:gridCol w:w="969"/>
        <w:gridCol w:w="1045"/>
        <w:gridCol w:w="991"/>
        <w:gridCol w:w="969"/>
        <w:gridCol w:w="1045"/>
        <w:gridCol w:w="991"/>
        <w:gridCol w:w="969"/>
        <w:gridCol w:w="1045"/>
        <w:gridCol w:w="991"/>
        <w:gridCol w:w="969"/>
      </w:tblGrid>
      <w:tr>
        <w:tblPrEx>
          <w:tblW w:w="625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2031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2032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2033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2034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2035</w:t>
            </w: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FIN-1: Egenkapitalinnskudd KLP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3 649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3 649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3 649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3 649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3 649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3 649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3 649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3 649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3 649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3 649</w:t>
            </w:r>
          </w:p>
        </w:tc>
      </w:tr>
      <w:tr>
        <w:tblPrEx>
          <w:tblW w:w="6250" w:type="pct"/>
        </w:tblPrEx>
        <w:tc>
          <w:tcPr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Sum Investeringer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3 649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3 649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3 649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3 649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3 649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3 649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3 649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3 649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3 649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3 649</w:t>
            </w:r>
          </w:p>
        </w:tc>
      </w:tr>
    </w:tbl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</w:pP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  <w:sectPr>
          <w:type w:val="nextPage"/>
          <w:pgSz w:w="16838" w:h="11906" w:orient="landscape"/>
          <w:pgMar w:top="1440" w:right="1134" w:bottom="1440" w:left="1417" w:header="720" w:footer="720" w:gutter="0"/>
          <w:cols w:space="720"/>
          <w:titlePg/>
          <w:docGrid w:linePitch="360"/>
        </w:sectPr>
      </w:pP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</w:pPr>
    </w:p>
    <w:sectPr>
      <w:type w:val="nextPage"/>
      <w:pgSz w:w="11906" w:h="16838" w:orient="portrait"/>
      <w:pgMar w:top="1440" w:right="1134" w:bottom="1440" w:left="1417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Calibri" w:eastAsia="Calibri" w:hAnsi="Calibri" w:cs="Calibri"/>
        <w:b w:val="0"/>
        <w:i w:val="0"/>
        <w:color w:val="000000"/>
        <w:spacing w:val="0"/>
        <w:sz w:val="22"/>
        <w:u w:val="none"/>
      </w:rPr>
    </w:pPr>
    <w:r>
      <w:rPr>
        <w:rFonts w:ascii="Calibri" w:eastAsia="Calibri" w:hAnsi="Calibri" w:cs="Calibri"/>
        <w:b w:val="0"/>
        <w:i w:val="0"/>
        <w:color w:val="000000"/>
        <w:spacing w:val="0"/>
        <w:sz w:val="22"/>
        <w:u w:val="none"/>
      </w:rPr>
      <w:t xml:space="preserve">Side </w:t>
    </w:r>
    <w:r>
      <w:rPr>
        <w:rFonts w:ascii="Calibri" w:eastAsia="Calibri" w:hAnsi="Calibri" w:cs="Calibri"/>
        <w:b w:val="0"/>
        <w:i w:val="0"/>
        <w:color w:val="000000"/>
        <w:spacing w:val="0"/>
        <w:sz w:val="22"/>
        <w:u w:val="none"/>
      </w:rPr>
      <w:fldChar w:fldCharType="begin"/>
    </w:r>
    <w:r>
      <w:rPr>
        <w:rFonts w:ascii="Calibri" w:eastAsia="Calibri" w:hAnsi="Calibri" w:cs="Calibri"/>
        <w:b w:val="0"/>
        <w:i w:val="0"/>
        <w:color w:val="000000"/>
        <w:spacing w:val="0"/>
        <w:sz w:val="22"/>
        <w:u w:val="none"/>
      </w:rPr>
      <w:instrText>PAGE</w:instrText>
    </w:r>
    <w:r>
      <w:rPr>
        <w:rFonts w:ascii="Calibri" w:eastAsia="Calibri" w:hAnsi="Calibri" w:cs="Calibri"/>
        <w:b w:val="0"/>
        <w:i w:val="0"/>
        <w:color w:val="000000"/>
        <w:spacing w:val="0"/>
        <w:sz w:val="22"/>
        <w:u w:val="none"/>
      </w:rPr>
      <w:fldChar w:fldCharType="separate"/>
    </w:r>
    <w:r>
      <w:rPr>
        <w:rFonts w:ascii="Calibri" w:eastAsia="Calibri" w:hAnsi="Calibri" w:cs="Calibri"/>
        <w:b w:val="0"/>
        <w:i w:val="0"/>
        <w:color w:val="000000"/>
        <w:spacing w:val="0"/>
        <w:sz w:val="22"/>
        <w:u w:val="none"/>
      </w:rPr>
      <w:fldChar w:fldCharType="end"/>
    </w:r>
    <w:r>
      <w:rPr>
        <w:rFonts w:ascii="Calibri" w:eastAsia="Calibri" w:hAnsi="Calibri" w:cs="Calibri"/>
        <w:b w:val="0"/>
        <w:i w:val="0"/>
        <w:color w:val="000000"/>
        <w:spacing w:val="0"/>
        <w:sz w:val="22"/>
        <w:u w:val="none"/>
      </w:rPr>
      <w:t xml:space="preserve"> av </w:t>
    </w:r>
    <w:r>
      <w:rPr>
        <w:rFonts w:ascii="Calibri" w:eastAsia="Calibri" w:hAnsi="Calibri" w:cs="Calibri"/>
        <w:b w:val="0"/>
        <w:i w:val="0"/>
        <w:color w:val="000000"/>
        <w:spacing w:val="0"/>
        <w:sz w:val="22"/>
        <w:u w:val="none"/>
      </w:rPr>
      <w:fldChar w:fldCharType="begin"/>
    </w:r>
    <w:r>
      <w:rPr>
        <w:rFonts w:ascii="Calibri" w:eastAsia="Calibri" w:hAnsi="Calibri" w:cs="Calibri"/>
        <w:b w:val="0"/>
        <w:i w:val="0"/>
        <w:color w:val="000000"/>
        <w:spacing w:val="0"/>
        <w:sz w:val="22"/>
        <w:u w:val="none"/>
      </w:rPr>
      <w:instrText>NUMPAGES</w:instrText>
    </w:r>
    <w:r>
      <w:rPr>
        <w:rFonts w:ascii="Calibri" w:eastAsia="Calibri" w:hAnsi="Calibri" w:cs="Calibri"/>
        <w:b w:val="0"/>
        <w:i w:val="0"/>
        <w:color w:val="000000"/>
        <w:spacing w:val="0"/>
        <w:sz w:val="22"/>
        <w:u w:val="none"/>
      </w:rPr>
      <w:fldChar w:fldCharType="separate"/>
    </w:r>
    <w:r>
      <w:rPr>
        <w:rFonts w:ascii="Calibri" w:eastAsia="Calibri" w:hAnsi="Calibri" w:cs="Calibri"/>
        <w:b w:val="0"/>
        <w:i w:val="0"/>
        <w:color w:val="000000"/>
        <w:spacing w:val="0"/>
        <w:sz w:val="22"/>
        <w:u w:val="none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Calibri" w:eastAsia="Calibri" w:hAnsi="Calibri" w:cs="Calibri"/>
        <w:b w:val="0"/>
        <w:i w:val="0"/>
        <w:color w:val="000000"/>
        <w:spacing w:val="0"/>
        <w:sz w:val="22"/>
        <w:u w:val="none"/>
      </w:rPr>
    </w:pPr>
    <w:r>
      <w:rPr>
        <w:rFonts w:ascii="Calibri" w:eastAsia="Calibri" w:hAnsi="Calibri" w:cs="Calibri"/>
        <w:b w:val="0"/>
        <w:i w:val="0"/>
        <w:color w:val="000000"/>
        <w:spacing w:val="0"/>
        <w:sz w:val="22"/>
        <w:u w:val="none"/>
      </w:rPr>
      <w:t>Bamble FrP 2026-2029</w:t>
    </w:r>
  </w:p>
  <w:p>
    <w:pPr>
      <w:jc w:val="center"/>
      <w:rPr>
        <w:rFonts w:ascii="Calibri" w:eastAsia="Calibri" w:hAnsi="Calibri" w:cs="Calibri"/>
        <w:b w:val="0"/>
        <w:i w:val="0"/>
        <w:color w:val="000000"/>
        <w:spacing w:val="0"/>
        <w:sz w:val="22"/>
        <w:u w:val="no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GridTable1Light">
    <w:name w:val="Grid Table 1 Light"/>
    <w:basedOn w:val="TableNormal"/>
    <w:uiPriority w:val="46"/>
    <w:rsid w:val="00253C0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table">
    <w:name w:val="table_table"/>
    <w:basedOn w:val="TableNormal"/>
    <w:tblPr/>
  </w:style>
  <w:style w:type="table" w:customStyle="1" w:styleId="table">
    <w:name w:val="table"/>
    <w:basedOn w:val="TableNormal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