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9D3CC" w14:textId="77777777" w:rsidR="00F63BF1" w:rsidRPr="00F63BF1" w:rsidRDefault="00F63BF1" w:rsidP="00F63BF1">
      <w:pPr>
        <w:pStyle w:val="Overskrift2"/>
        <w:rPr>
          <w:sz w:val="24"/>
          <w:szCs w:val="36"/>
          <w:lang w:val="nb-NO"/>
        </w:rPr>
      </w:pPr>
      <w:r w:rsidRPr="00F63BF1">
        <w:rPr>
          <w:sz w:val="24"/>
          <w:szCs w:val="36"/>
          <w:lang w:val="nb-NO"/>
        </w:rPr>
        <w:t>Høring – forslag til forskrift om tilfluktssteder</w:t>
      </w:r>
    </w:p>
    <w:p w14:paraId="4AF0684C" w14:textId="07206F44" w:rsidR="005E4445" w:rsidRPr="00F63BF1" w:rsidRDefault="00341155">
      <w:pPr>
        <w:pStyle w:val="Overskrift1"/>
        <w:rPr>
          <w:sz w:val="32"/>
          <w:szCs w:val="44"/>
          <w:lang w:val="nb-NO"/>
        </w:rPr>
      </w:pPr>
      <w:r w:rsidRPr="00F63BF1">
        <w:rPr>
          <w:sz w:val="32"/>
          <w:szCs w:val="44"/>
          <w:lang w:val="nb-NO"/>
        </w:rPr>
        <w:t xml:space="preserve">Felles høringsuttalelse fra </w:t>
      </w:r>
      <w:r w:rsidR="00C30A7D" w:rsidRPr="00F63BF1">
        <w:rPr>
          <w:sz w:val="32"/>
          <w:szCs w:val="44"/>
          <w:lang w:val="nb-NO"/>
        </w:rPr>
        <w:t>Balsfjord</w:t>
      </w:r>
      <w:r w:rsidR="00C30A7D">
        <w:rPr>
          <w:sz w:val="32"/>
          <w:szCs w:val="44"/>
          <w:lang w:val="nb-NO"/>
        </w:rPr>
        <w:t xml:space="preserve">, Bardu, </w:t>
      </w:r>
      <w:r w:rsidR="00C30A7D" w:rsidRPr="00F63BF1">
        <w:rPr>
          <w:sz w:val="32"/>
          <w:szCs w:val="44"/>
          <w:lang w:val="nb-NO"/>
        </w:rPr>
        <w:t>Dyrøy</w:t>
      </w:r>
      <w:r w:rsidR="00C30A7D">
        <w:rPr>
          <w:sz w:val="32"/>
          <w:szCs w:val="44"/>
          <w:lang w:val="nb-NO"/>
        </w:rPr>
        <w:t xml:space="preserve">, </w:t>
      </w:r>
      <w:r w:rsidR="00C30A7D" w:rsidRPr="00F63BF1">
        <w:rPr>
          <w:sz w:val="32"/>
          <w:szCs w:val="44"/>
          <w:lang w:val="nb-NO"/>
        </w:rPr>
        <w:t>Lavangen</w:t>
      </w:r>
      <w:r w:rsidR="00C30A7D">
        <w:rPr>
          <w:sz w:val="32"/>
          <w:szCs w:val="44"/>
          <w:lang w:val="nb-NO"/>
        </w:rPr>
        <w:t xml:space="preserve">, </w:t>
      </w:r>
      <w:r w:rsidRPr="00F63BF1">
        <w:rPr>
          <w:sz w:val="32"/>
          <w:szCs w:val="44"/>
          <w:lang w:val="nb-NO"/>
        </w:rPr>
        <w:t xml:space="preserve">Målselv, </w:t>
      </w:r>
      <w:r w:rsidR="00C30A7D" w:rsidRPr="00F63BF1">
        <w:rPr>
          <w:sz w:val="32"/>
          <w:szCs w:val="44"/>
          <w:lang w:val="nb-NO"/>
        </w:rPr>
        <w:t xml:space="preserve">Salangen </w:t>
      </w:r>
      <w:r w:rsidR="00C30A7D">
        <w:rPr>
          <w:sz w:val="32"/>
          <w:szCs w:val="44"/>
          <w:lang w:val="nb-NO"/>
        </w:rPr>
        <w:t xml:space="preserve">og </w:t>
      </w:r>
      <w:r w:rsidRPr="00F63BF1">
        <w:rPr>
          <w:sz w:val="32"/>
          <w:szCs w:val="44"/>
          <w:lang w:val="nb-NO"/>
        </w:rPr>
        <w:t>Sørreisa</w:t>
      </w:r>
      <w:r w:rsidR="00C30A7D">
        <w:rPr>
          <w:sz w:val="32"/>
          <w:szCs w:val="44"/>
          <w:lang w:val="nb-NO"/>
        </w:rPr>
        <w:t xml:space="preserve"> </w:t>
      </w:r>
      <w:r w:rsidRPr="00F63BF1">
        <w:rPr>
          <w:sz w:val="32"/>
          <w:szCs w:val="44"/>
          <w:lang w:val="nb-NO"/>
        </w:rPr>
        <w:t>kommuner</w:t>
      </w:r>
    </w:p>
    <w:p w14:paraId="78D9EF0E" w14:textId="77777777" w:rsidR="005E4445" w:rsidRPr="00F63BF1" w:rsidRDefault="00341155">
      <w:pPr>
        <w:rPr>
          <w:sz w:val="22"/>
          <w:szCs w:val="28"/>
          <w:lang w:val="nb-NO"/>
        </w:rPr>
      </w:pPr>
      <w:r w:rsidRPr="00F63BF1">
        <w:rPr>
          <w:sz w:val="22"/>
          <w:szCs w:val="28"/>
          <w:lang w:val="nb-NO"/>
        </w:rPr>
        <w:t>Til Justis- og beredskapsdepartementet</w:t>
      </w:r>
    </w:p>
    <w:p w14:paraId="5BB4F428" w14:textId="50487795" w:rsidR="005E4445" w:rsidRDefault="00C30A7D">
      <w:pPr>
        <w:rPr>
          <w:sz w:val="22"/>
          <w:szCs w:val="28"/>
          <w:lang w:val="nb-NO"/>
        </w:rPr>
      </w:pPr>
      <w:r w:rsidRPr="00C30A7D">
        <w:rPr>
          <w:sz w:val="22"/>
          <w:szCs w:val="28"/>
          <w:lang w:val="nb-NO"/>
        </w:rPr>
        <w:t>Balsfjord, Bardu, Dyrøy, Lavangen, Målselv, Salangen og Sørreisa</w:t>
      </w:r>
      <w:r w:rsidRPr="00F63BF1">
        <w:rPr>
          <w:sz w:val="22"/>
          <w:szCs w:val="28"/>
          <w:lang w:val="nb-NO"/>
        </w:rPr>
        <w:t xml:space="preserve"> kommuner viser til Justis- og beredskapsdepartementets høring av forslag til ny forskrift om tilfluktssteder. Kommunene støtter hovedformålet med forskriften og behovet for å styrke beskyttelsen av sivilbefolkningen i en endret sikkerhetspolitisk situasjon. Samtidig må statlige krav følges av nødvendige økonomiske og faglige virkemidler.</w:t>
      </w:r>
    </w:p>
    <w:p w14:paraId="7F713202" w14:textId="6D63C776" w:rsidR="00C30A7D" w:rsidRPr="00F63BF1" w:rsidRDefault="00C30A7D">
      <w:pPr>
        <w:rPr>
          <w:sz w:val="22"/>
          <w:szCs w:val="28"/>
          <w:lang w:val="nb-NO"/>
        </w:rPr>
      </w:pPr>
      <w:r>
        <w:rPr>
          <w:sz w:val="22"/>
          <w:szCs w:val="28"/>
          <w:lang w:val="nb-NO"/>
        </w:rPr>
        <w:t>Senja kommune, som er en del av Midt-Tromsregionen, regionen har levert egen høringsuttalelse.</w:t>
      </w:r>
    </w:p>
    <w:p w14:paraId="480776FA" w14:textId="77777777" w:rsidR="005E4445" w:rsidRPr="00F63BF1" w:rsidRDefault="00341155">
      <w:pPr>
        <w:pStyle w:val="Overskrift2"/>
        <w:rPr>
          <w:sz w:val="24"/>
          <w:szCs w:val="36"/>
          <w:lang w:val="nb-NO"/>
        </w:rPr>
      </w:pPr>
      <w:r w:rsidRPr="00F63BF1">
        <w:rPr>
          <w:sz w:val="24"/>
          <w:szCs w:val="36"/>
          <w:lang w:val="nb-NO"/>
        </w:rPr>
        <w:t>Sivil beskyttelse er en del av totalforsvaret</w:t>
      </w:r>
    </w:p>
    <w:p w14:paraId="616C237E" w14:textId="77777777" w:rsidR="005E4445" w:rsidRPr="00F63BF1" w:rsidRDefault="00341155">
      <w:pPr>
        <w:rPr>
          <w:sz w:val="22"/>
          <w:szCs w:val="28"/>
          <w:lang w:val="nb-NO"/>
        </w:rPr>
      </w:pPr>
      <w:r w:rsidRPr="00F63BF1">
        <w:rPr>
          <w:sz w:val="22"/>
          <w:szCs w:val="28"/>
          <w:lang w:val="nb-NO"/>
        </w:rPr>
        <w:t>Kommunene har lokalkunnskap og ansvar for samfunnsfunksjoner som er avgjørende i kriser, og støtter derfor en tydelig kommunal rolle i planleggingen. Beskyttelse av sivilbefolkningen er samtidig en grunnleggende del av den nasjonale beredskapen og totalforsvaret. Når staten fastsetter nasjonale mål og krav av hensyn til sikkerheten, må det følge med virkemidler som gjør kommunene i stand til å oppfylle kravene. Kommunene kan ikke forventes å finansiere omfattende nasjonale beredskapstiltak innenfor ordinære</w:t>
      </w:r>
      <w:r w:rsidRPr="00F63BF1">
        <w:rPr>
          <w:sz w:val="22"/>
          <w:szCs w:val="28"/>
          <w:lang w:val="nb-NO"/>
        </w:rPr>
        <w:t xml:space="preserve"> drifts- og investeringsbudsjetter.</w:t>
      </w:r>
    </w:p>
    <w:p w14:paraId="0C9A8E57" w14:textId="77777777" w:rsidR="005E4445" w:rsidRPr="00F63BF1" w:rsidRDefault="00341155">
      <w:pPr>
        <w:pStyle w:val="Overskrift2"/>
        <w:rPr>
          <w:sz w:val="24"/>
          <w:szCs w:val="36"/>
          <w:lang w:val="nb-NO"/>
        </w:rPr>
      </w:pPr>
      <w:r w:rsidRPr="00F63BF1">
        <w:rPr>
          <w:sz w:val="24"/>
          <w:szCs w:val="36"/>
          <w:lang w:val="nb-NO"/>
        </w:rPr>
        <w:t>Særlig om kommunene i Troms</w:t>
      </w:r>
    </w:p>
    <w:p w14:paraId="205352DC" w14:textId="55A4A733" w:rsidR="005E4445" w:rsidRPr="00F63BF1" w:rsidRDefault="00341155">
      <w:pPr>
        <w:rPr>
          <w:sz w:val="22"/>
          <w:szCs w:val="28"/>
          <w:lang w:val="nb-NO"/>
        </w:rPr>
      </w:pPr>
      <w:r w:rsidRPr="00F63BF1">
        <w:rPr>
          <w:sz w:val="22"/>
          <w:szCs w:val="28"/>
          <w:lang w:val="nb-NO"/>
        </w:rPr>
        <w:t xml:space="preserve">De </w:t>
      </w:r>
      <w:r w:rsidR="00C30A7D">
        <w:rPr>
          <w:sz w:val="22"/>
          <w:szCs w:val="28"/>
          <w:lang w:val="nb-NO"/>
        </w:rPr>
        <w:t>syv</w:t>
      </w:r>
      <w:r w:rsidRPr="00F63BF1">
        <w:rPr>
          <w:sz w:val="22"/>
          <w:szCs w:val="28"/>
          <w:lang w:val="nb-NO"/>
        </w:rPr>
        <w:t xml:space="preserve"> kommunene utgjør</w:t>
      </w:r>
      <w:r w:rsidR="00C30A7D">
        <w:rPr>
          <w:sz w:val="22"/>
          <w:szCs w:val="28"/>
          <w:lang w:val="nb-NO"/>
        </w:rPr>
        <w:t xml:space="preserve">, i lag med Senja kommune, </w:t>
      </w:r>
      <w:r w:rsidRPr="00F63BF1">
        <w:rPr>
          <w:sz w:val="22"/>
          <w:szCs w:val="28"/>
          <w:lang w:val="nb-NO"/>
        </w:rPr>
        <w:t>et geografisk område med stor betydning for regional og nasjonal sikkerhet, med funksjoner knyttet til Forsvaret, kritisk infrastruktur, transport, energi og kommunikasjon. Flere kan få en særlig viktig rolle i totalforsvaret. Dimensjoneringen av den sivile beskyttelsen må derfor ta hensyn til strategisk betydning, geografisk beliggenhet og faktisk risiko – ikke bare befolkningstall. Dersom dette medfører strengere krav til beskyttelseskapasitet, må staten også finansiere de nødvendige tiltakene.</w:t>
      </w:r>
    </w:p>
    <w:p w14:paraId="379E7EB1" w14:textId="77777777" w:rsidR="005E4445" w:rsidRPr="00F63BF1" w:rsidRDefault="00341155">
      <w:pPr>
        <w:pStyle w:val="Overskrift2"/>
        <w:rPr>
          <w:sz w:val="24"/>
          <w:szCs w:val="36"/>
          <w:lang w:val="nb-NO"/>
        </w:rPr>
      </w:pPr>
      <w:r w:rsidRPr="00F63BF1">
        <w:rPr>
          <w:sz w:val="24"/>
          <w:szCs w:val="36"/>
          <w:lang w:val="nb-NO"/>
        </w:rPr>
        <w:t>Behov for en særskilt statlig finansieringsordning</w:t>
      </w:r>
    </w:p>
    <w:p w14:paraId="566F0BB0" w14:textId="77777777" w:rsidR="005E4445" w:rsidRPr="00F63BF1" w:rsidRDefault="00341155">
      <w:pPr>
        <w:rPr>
          <w:sz w:val="22"/>
          <w:szCs w:val="28"/>
          <w:lang w:val="nb-NO"/>
        </w:rPr>
      </w:pPr>
      <w:r w:rsidRPr="00F63BF1">
        <w:rPr>
          <w:sz w:val="22"/>
          <w:szCs w:val="28"/>
          <w:lang w:val="nb-NO"/>
        </w:rPr>
        <w:t xml:space="preserve">Forskriften kan medføre betydelige kostnader til kartlegging, planlegging, tekniske vurderinger, vedlikehold og oppgradering av eksisterende tilfluktssteder samt etablering av nye </w:t>
      </w:r>
      <w:proofErr w:type="spellStart"/>
      <w:r w:rsidRPr="00F63BF1">
        <w:rPr>
          <w:sz w:val="22"/>
          <w:szCs w:val="28"/>
          <w:lang w:val="nb-NO"/>
        </w:rPr>
        <w:t>beskyttelsessteder</w:t>
      </w:r>
      <w:proofErr w:type="spellEnd"/>
      <w:r w:rsidRPr="00F63BF1">
        <w:rPr>
          <w:sz w:val="22"/>
          <w:szCs w:val="28"/>
          <w:lang w:val="nb-NO"/>
        </w:rPr>
        <w:t>. Kommunene mener slike kostnader i hovedsak må finansieres gjennom nasjonale ordninger fordi tiltakene er begrunnet i nasjonale sikkerhets- og beredskapsbehov.</w:t>
      </w:r>
    </w:p>
    <w:p w14:paraId="7D205266" w14:textId="77777777" w:rsidR="005E4445" w:rsidRDefault="00341155">
      <w:pPr>
        <w:rPr>
          <w:sz w:val="22"/>
          <w:szCs w:val="28"/>
          <w:lang w:val="nb-NO"/>
        </w:rPr>
      </w:pPr>
      <w:r w:rsidRPr="00F63BF1">
        <w:rPr>
          <w:sz w:val="22"/>
          <w:szCs w:val="28"/>
          <w:lang w:val="nb-NO"/>
        </w:rPr>
        <w:t>Det må etableres en særskilt, forutsigbar og langsiktig statlig finansieringsordning før kommunene pålegges omfattende nye investerings- og gjennomføringsoppgaver. Ordningen bør omfatte både kartlegging og planlegging, nødvendige investeringer og oppgraderinger og tekniske løsninger som ventilasjon, nødstrøm, vann og sanitær. En slik ordning er også viktig for å unngå forskjeller mellom kommunene som kan svekke beredskapen der behovet er størst.</w:t>
      </w:r>
    </w:p>
    <w:p w14:paraId="08E75141" w14:textId="285EFF4E" w:rsidR="00F33AB3" w:rsidRDefault="00F33AB3">
      <w:pPr>
        <w:rPr>
          <w:sz w:val="22"/>
          <w:szCs w:val="28"/>
          <w:lang w:val="nb-NO"/>
        </w:rPr>
      </w:pPr>
      <w:r>
        <w:rPr>
          <w:sz w:val="22"/>
          <w:szCs w:val="28"/>
          <w:lang w:val="nb-NO"/>
        </w:rPr>
        <w:t xml:space="preserve">Dersom utbyggere pålegges å inkludere tilflukts- eller dekningsrom, må det gjøres tiltak slik at ikke merkostnader fører til økte boligpriser eller til at det ikke bygges nye, moderne nybygg med leiligheter. Boligmangel er allerede en utfordring, og gjør det vanskelig å motivere folk til å jobbe og bosette seg </w:t>
      </w:r>
      <w:proofErr w:type="gramStart"/>
      <w:r>
        <w:rPr>
          <w:sz w:val="22"/>
          <w:szCs w:val="28"/>
          <w:lang w:val="nb-NO"/>
        </w:rPr>
        <w:t>i  utsatte</w:t>
      </w:r>
      <w:proofErr w:type="gramEnd"/>
      <w:r>
        <w:rPr>
          <w:sz w:val="22"/>
          <w:szCs w:val="28"/>
          <w:lang w:val="nb-NO"/>
        </w:rPr>
        <w:t xml:space="preserve"> kommuner og andre distriktskommuner.</w:t>
      </w:r>
    </w:p>
    <w:p w14:paraId="6FA73606" w14:textId="44B7BCB5" w:rsidR="005555CC" w:rsidRDefault="005555CC">
      <w:pPr>
        <w:rPr>
          <w:sz w:val="22"/>
          <w:szCs w:val="28"/>
          <w:lang w:val="nb-NO"/>
        </w:rPr>
      </w:pPr>
      <w:r>
        <w:rPr>
          <w:sz w:val="22"/>
          <w:szCs w:val="28"/>
          <w:lang w:val="nb-NO"/>
        </w:rPr>
        <w:t>Ved større sta</w:t>
      </w:r>
      <w:r w:rsidR="00120339">
        <w:rPr>
          <w:sz w:val="22"/>
          <w:szCs w:val="28"/>
          <w:lang w:val="nb-NO"/>
        </w:rPr>
        <w:t xml:space="preserve">tlige og fylkeskommunale </w:t>
      </w:r>
      <w:r>
        <w:rPr>
          <w:sz w:val="22"/>
          <w:szCs w:val="28"/>
          <w:lang w:val="nb-NO"/>
        </w:rPr>
        <w:t xml:space="preserve">utbyggingsprosjekter, eksempelvis vei og annen infrastruktur, må beredskap </w:t>
      </w:r>
      <w:r w:rsidR="00120339">
        <w:rPr>
          <w:sz w:val="22"/>
          <w:szCs w:val="28"/>
          <w:lang w:val="nb-NO"/>
        </w:rPr>
        <w:t xml:space="preserve">hensyntas og </w:t>
      </w:r>
      <w:r>
        <w:rPr>
          <w:sz w:val="22"/>
          <w:szCs w:val="28"/>
          <w:lang w:val="nb-NO"/>
        </w:rPr>
        <w:t>være en integrert del av planleggingen</w:t>
      </w:r>
      <w:r w:rsidR="00120339">
        <w:rPr>
          <w:sz w:val="22"/>
          <w:szCs w:val="28"/>
          <w:lang w:val="nb-NO"/>
        </w:rPr>
        <w:t>.</w:t>
      </w:r>
    </w:p>
    <w:p w14:paraId="5C060FBC" w14:textId="77777777" w:rsidR="005E4445" w:rsidRPr="00F63BF1" w:rsidRDefault="00341155">
      <w:pPr>
        <w:pStyle w:val="Overskrift2"/>
        <w:rPr>
          <w:sz w:val="24"/>
          <w:szCs w:val="36"/>
          <w:lang w:val="nb-NO"/>
        </w:rPr>
      </w:pPr>
      <w:r w:rsidRPr="00F63BF1">
        <w:rPr>
          <w:sz w:val="24"/>
          <w:szCs w:val="36"/>
          <w:lang w:val="nb-NO"/>
        </w:rPr>
        <w:t>Ansvar må følges av kompetanse og veiledning</w:t>
      </w:r>
    </w:p>
    <w:p w14:paraId="6F9682B9" w14:textId="77777777" w:rsidR="005E4445" w:rsidRPr="00F63BF1" w:rsidRDefault="00341155">
      <w:pPr>
        <w:rPr>
          <w:sz w:val="22"/>
          <w:szCs w:val="28"/>
          <w:lang w:val="nb-NO"/>
        </w:rPr>
      </w:pPr>
      <w:r w:rsidRPr="00F63BF1">
        <w:rPr>
          <w:sz w:val="22"/>
          <w:szCs w:val="28"/>
          <w:lang w:val="nb-NO"/>
        </w:rPr>
        <w:t xml:space="preserve">Kommunene må ha tilgang til nødvendig fagkompetanse og et tilstrekkelig kunnskapsgrunnlag. Det er ikke realistisk at alle kommuner skal bygge egne fagmiljøer innen tekniske, beredskapsmessige og </w:t>
      </w:r>
      <w:r w:rsidRPr="00F63BF1">
        <w:rPr>
          <w:sz w:val="22"/>
          <w:szCs w:val="28"/>
          <w:lang w:val="nb-NO"/>
        </w:rPr>
        <w:lastRenderedPageBreak/>
        <w:t xml:space="preserve">sikkerhetsfaglige spørsmål knyttet til tilfluktssteder. Staten bør derfor sørge for relevant kompetanse og tydelig nasjonal veiledning, med klare kriterier for beregning av </w:t>
      </w:r>
      <w:proofErr w:type="spellStart"/>
      <w:r w:rsidRPr="00F63BF1">
        <w:rPr>
          <w:sz w:val="22"/>
          <w:szCs w:val="28"/>
          <w:lang w:val="nb-NO"/>
        </w:rPr>
        <w:t>tilfluktskapasitet</w:t>
      </w:r>
      <w:proofErr w:type="spellEnd"/>
      <w:r w:rsidRPr="00F63BF1">
        <w:rPr>
          <w:sz w:val="22"/>
          <w:szCs w:val="28"/>
          <w:lang w:val="nb-NO"/>
        </w:rPr>
        <w:t xml:space="preserve">, vurdering av eksisterende </w:t>
      </w:r>
      <w:proofErr w:type="spellStart"/>
      <w:r w:rsidRPr="00F63BF1">
        <w:rPr>
          <w:sz w:val="22"/>
          <w:szCs w:val="28"/>
          <w:lang w:val="nb-NO"/>
        </w:rPr>
        <w:t>beskyttelsessteder</w:t>
      </w:r>
      <w:proofErr w:type="spellEnd"/>
      <w:r w:rsidRPr="00F63BF1">
        <w:rPr>
          <w:sz w:val="22"/>
          <w:szCs w:val="28"/>
          <w:lang w:val="nb-NO"/>
        </w:rPr>
        <w:t xml:space="preserve"> og integrering i kommunenes beredskapsplanlegging. Kommunene må også få tilgang til relevante nasjonale risiko- og trusselvurderinger, særlig der lokale funksjoner inngår i totalforsvaret.</w:t>
      </w:r>
    </w:p>
    <w:p w14:paraId="7C21F4D4" w14:textId="77777777" w:rsidR="005E4445" w:rsidRPr="00F63BF1" w:rsidRDefault="00341155">
      <w:pPr>
        <w:pStyle w:val="Overskrift2"/>
        <w:rPr>
          <w:sz w:val="24"/>
          <w:szCs w:val="36"/>
          <w:lang w:val="nb-NO"/>
        </w:rPr>
      </w:pPr>
      <w:r w:rsidRPr="00F63BF1">
        <w:rPr>
          <w:sz w:val="24"/>
          <w:szCs w:val="36"/>
          <w:lang w:val="nb-NO"/>
        </w:rPr>
        <w:t>Strategisk betydning og reell beskyttelseskapasitet</w:t>
      </w:r>
    </w:p>
    <w:p w14:paraId="3DBA7282" w14:textId="77777777" w:rsidR="005E4445" w:rsidRPr="00F63BF1" w:rsidRDefault="00341155">
      <w:pPr>
        <w:rPr>
          <w:sz w:val="22"/>
          <w:szCs w:val="28"/>
          <w:lang w:val="nb-NO"/>
        </w:rPr>
      </w:pPr>
      <w:r w:rsidRPr="00F63BF1">
        <w:rPr>
          <w:sz w:val="22"/>
          <w:szCs w:val="28"/>
          <w:lang w:val="nb-NO"/>
        </w:rPr>
        <w:t xml:space="preserve">Befolkningstall er et relevant dimensjoneringsgrunnlag, men kan ikke stå alene. Kommuner med militær aktivitet, kritisk infrastruktur, viktige transport- og forsyningslinjer eller andre nasjonale funksjoner kan ha </w:t>
      </w:r>
      <w:r w:rsidRPr="00F63BF1">
        <w:rPr>
          <w:sz w:val="22"/>
          <w:szCs w:val="28"/>
          <w:lang w:val="nb-NO"/>
        </w:rPr>
        <w:t>større beredskapsbehov enn folketallet tilsier. Den endelige forskriften og veiledningen bør derfor åpne for en risikobasert og differensiert tilnærming.</w:t>
      </w:r>
    </w:p>
    <w:p w14:paraId="34C7CB0E" w14:textId="77777777" w:rsidR="005E4445" w:rsidRPr="00F63BF1" w:rsidRDefault="00341155">
      <w:pPr>
        <w:rPr>
          <w:sz w:val="22"/>
          <w:szCs w:val="28"/>
          <w:lang w:val="nb-NO"/>
        </w:rPr>
      </w:pPr>
      <w:proofErr w:type="spellStart"/>
      <w:r w:rsidRPr="00F63BF1">
        <w:rPr>
          <w:sz w:val="22"/>
          <w:szCs w:val="28"/>
          <w:lang w:val="nb-NO"/>
        </w:rPr>
        <w:t>Tilfluktskapasitet</w:t>
      </w:r>
      <w:proofErr w:type="spellEnd"/>
      <w:r w:rsidRPr="00F63BF1">
        <w:rPr>
          <w:sz w:val="22"/>
          <w:szCs w:val="28"/>
          <w:lang w:val="nb-NO"/>
        </w:rPr>
        <w:t xml:space="preserve"> må dessuten vurderes ut fra reell beskyttelsesevne, ikke bare antall registrerte plasser. Tilfluktssteder må være tilgjengelige og funksjonelle når de trengs. Teknisk tilstand, ventilasjon, strømforsyning, vann, sanitær, tilgjengelighet og mulighet for opphold over tid er avgjørende. Det bør utvikles nasjonale og etterprøvbare kriterier. Tilfluktssteder må ses i sammenheng med varsling, evakuering, krigsutflytting, egenberedskap, ROS-analyse og øvrig beredskapsplanlegging.</w:t>
      </w:r>
    </w:p>
    <w:p w14:paraId="6FC5AC27" w14:textId="77777777" w:rsidR="005E4445" w:rsidRPr="00F63BF1" w:rsidRDefault="00341155">
      <w:pPr>
        <w:pStyle w:val="Overskrift2"/>
        <w:rPr>
          <w:sz w:val="24"/>
          <w:szCs w:val="36"/>
          <w:lang w:val="nb-NO"/>
        </w:rPr>
      </w:pPr>
      <w:r w:rsidRPr="00F63BF1">
        <w:rPr>
          <w:sz w:val="24"/>
          <w:szCs w:val="36"/>
          <w:lang w:val="nb-NO"/>
        </w:rPr>
        <w:t>Tydelig ansvarsdeling</w:t>
      </w:r>
    </w:p>
    <w:p w14:paraId="0D6A4CBB" w14:textId="77777777" w:rsidR="005E4445" w:rsidRPr="00F63BF1" w:rsidRDefault="00341155">
      <w:pPr>
        <w:rPr>
          <w:sz w:val="22"/>
          <w:szCs w:val="28"/>
          <w:lang w:val="nb-NO"/>
        </w:rPr>
      </w:pPr>
      <w:r w:rsidRPr="00F63BF1">
        <w:rPr>
          <w:sz w:val="22"/>
          <w:szCs w:val="28"/>
          <w:lang w:val="nb-NO"/>
        </w:rPr>
        <w:t>Forskriften bør tydeliggjøre ansvarsdelingen mellom staten, Sivilforsvaret, kommunene, Forsvaret og private og offentlige eiere. Det må være klart hvem som har ansvar for planlegging, finansiering, etablering, vedlikehold, klargjøring og drift. Kommunenes ansvar for planlegging og koordinering må ikke innebære et indirekte økonomisk ansvar for tiltak som i hovedsak ivaretar nasjonale sikkerhets- og beredskapsinteresser.</w:t>
      </w:r>
    </w:p>
    <w:p w14:paraId="420E5F73" w14:textId="77777777" w:rsidR="005E4445" w:rsidRPr="00F63BF1" w:rsidRDefault="00341155">
      <w:pPr>
        <w:pStyle w:val="Overskrift2"/>
        <w:rPr>
          <w:sz w:val="24"/>
          <w:szCs w:val="36"/>
          <w:lang w:val="nb-NO"/>
        </w:rPr>
      </w:pPr>
      <w:r w:rsidRPr="00F63BF1">
        <w:rPr>
          <w:sz w:val="24"/>
          <w:szCs w:val="36"/>
          <w:lang w:val="nb-NO"/>
        </w:rPr>
        <w:t>Kommunenes samlede vurdering og konklusjon</w:t>
      </w:r>
    </w:p>
    <w:p w14:paraId="3C709D7D" w14:textId="3DC666F9" w:rsidR="005E4445" w:rsidRPr="00F63BF1" w:rsidRDefault="00C30A7D">
      <w:pPr>
        <w:rPr>
          <w:sz w:val="22"/>
          <w:szCs w:val="28"/>
          <w:lang w:val="nb-NO"/>
        </w:rPr>
      </w:pPr>
      <w:r w:rsidRPr="00C30A7D">
        <w:rPr>
          <w:sz w:val="22"/>
          <w:szCs w:val="28"/>
          <w:lang w:val="nb-NO"/>
        </w:rPr>
        <w:t>Balsfjord, Bardu, Dyrøy, Lavangen, Målselv, Salangen og Sørreisa</w:t>
      </w:r>
      <w:r w:rsidRPr="00F63BF1">
        <w:rPr>
          <w:sz w:val="22"/>
          <w:szCs w:val="28"/>
          <w:lang w:val="nb-NO"/>
        </w:rPr>
        <w:t xml:space="preserve"> kommuner støtter hovedintensjonen i forslaget og er innstilt på å bidra aktivt i arbeidet med å styrke beskyttelsen av sivilbefolkningen. For at regelverket skal kunne gjennomføres på en forsvarlig måte, må det være samsvar mellom oppgaver, ansvar og ressurser.</w:t>
      </w:r>
    </w:p>
    <w:p w14:paraId="7ADA9962" w14:textId="77777777" w:rsidR="00F63BF1" w:rsidRDefault="00341155">
      <w:pPr>
        <w:rPr>
          <w:sz w:val="22"/>
          <w:szCs w:val="28"/>
          <w:lang w:val="nb-NO"/>
        </w:rPr>
      </w:pPr>
      <w:r w:rsidRPr="00F63BF1">
        <w:rPr>
          <w:sz w:val="22"/>
          <w:szCs w:val="28"/>
          <w:lang w:val="nb-NO"/>
        </w:rPr>
        <w:t xml:space="preserve">Kommunene ber derfor om at den videre behandlingen særlig sikrer: </w:t>
      </w:r>
    </w:p>
    <w:p w14:paraId="280597CE" w14:textId="77777777" w:rsidR="00F63BF1" w:rsidRDefault="00341155" w:rsidP="00F63BF1">
      <w:pPr>
        <w:pStyle w:val="Listeavsnitt"/>
        <w:numPr>
          <w:ilvl w:val="0"/>
          <w:numId w:val="2"/>
        </w:numPr>
        <w:rPr>
          <w:sz w:val="22"/>
          <w:szCs w:val="28"/>
          <w:lang w:val="nb-NO"/>
        </w:rPr>
      </w:pPr>
      <w:r w:rsidRPr="00F63BF1">
        <w:rPr>
          <w:sz w:val="22"/>
          <w:szCs w:val="28"/>
          <w:lang w:val="nb-NO"/>
        </w:rPr>
        <w:t>en særskilt, forutsigbar og langsiktig statlig finansieringsordning som omfatter planlegging, kartlegging, tekniske vurderinger og nødvendige investeringer og oppgraderinger</w:t>
      </w:r>
    </w:p>
    <w:p w14:paraId="1ECF7463" w14:textId="77777777" w:rsidR="00F63BF1" w:rsidRDefault="00341155" w:rsidP="00F63BF1">
      <w:pPr>
        <w:pStyle w:val="Listeavsnitt"/>
        <w:numPr>
          <w:ilvl w:val="0"/>
          <w:numId w:val="2"/>
        </w:numPr>
        <w:rPr>
          <w:sz w:val="22"/>
          <w:szCs w:val="28"/>
          <w:lang w:val="nb-NO"/>
        </w:rPr>
      </w:pPr>
      <w:r w:rsidRPr="00F63BF1">
        <w:rPr>
          <w:sz w:val="22"/>
          <w:szCs w:val="28"/>
          <w:lang w:val="nb-NO"/>
        </w:rPr>
        <w:t>at kommuner med særlig strategisk betydning for Forsvaret og totalforsvaret kan dimensjonere beskyttelsestiltak ut fra faktisk risiko og funksjon, ikke bare folketall</w:t>
      </w:r>
    </w:p>
    <w:p w14:paraId="3B4D88BA" w14:textId="77777777" w:rsidR="00F63BF1" w:rsidRDefault="00341155" w:rsidP="00F63BF1">
      <w:pPr>
        <w:pStyle w:val="Listeavsnitt"/>
        <w:numPr>
          <w:ilvl w:val="0"/>
          <w:numId w:val="2"/>
        </w:numPr>
        <w:rPr>
          <w:sz w:val="22"/>
          <w:szCs w:val="28"/>
          <w:lang w:val="nb-NO"/>
        </w:rPr>
      </w:pPr>
      <w:r w:rsidRPr="00F63BF1">
        <w:rPr>
          <w:sz w:val="22"/>
          <w:szCs w:val="28"/>
          <w:lang w:val="nb-NO"/>
        </w:rPr>
        <w:t>tilgang til nødvendig fagkompetanse, nasjonale kriterier, data og veiledning</w:t>
      </w:r>
    </w:p>
    <w:p w14:paraId="47568EAA" w14:textId="2D74CD74" w:rsidR="005E4445" w:rsidRPr="00F63BF1" w:rsidRDefault="00341155" w:rsidP="00F63BF1">
      <w:pPr>
        <w:pStyle w:val="Listeavsnitt"/>
        <w:numPr>
          <w:ilvl w:val="0"/>
          <w:numId w:val="2"/>
        </w:numPr>
        <w:rPr>
          <w:sz w:val="22"/>
          <w:szCs w:val="28"/>
          <w:lang w:val="nb-NO"/>
        </w:rPr>
      </w:pPr>
      <w:r w:rsidRPr="00F63BF1">
        <w:rPr>
          <w:sz w:val="22"/>
          <w:szCs w:val="28"/>
          <w:lang w:val="nb-NO"/>
        </w:rPr>
        <w:t>en tydelig ansvarsdeling mellom staten, Sivilforsvaret, kommunene, Forsvaret og øvrige eiere og aktører.</w:t>
      </w:r>
    </w:p>
    <w:p w14:paraId="50235CAF" w14:textId="77777777" w:rsidR="00F63BF1" w:rsidRDefault="00F63BF1">
      <w:pPr>
        <w:rPr>
          <w:sz w:val="22"/>
          <w:szCs w:val="28"/>
          <w:lang w:val="nb-NO"/>
        </w:rPr>
      </w:pPr>
    </w:p>
    <w:p w14:paraId="5EABE9D2" w14:textId="74FAAF48" w:rsidR="005E4445" w:rsidRPr="00F63BF1" w:rsidRDefault="00341155">
      <w:pPr>
        <w:rPr>
          <w:sz w:val="22"/>
          <w:szCs w:val="28"/>
          <w:lang w:val="nb-NO"/>
        </w:rPr>
      </w:pPr>
      <w:r w:rsidRPr="00F63BF1">
        <w:rPr>
          <w:sz w:val="22"/>
          <w:szCs w:val="28"/>
          <w:lang w:val="nb-NO"/>
        </w:rPr>
        <w:t>Disse forutsetningene er avgjørende for at det nye regelverket skal gi den ønskede styrkingen av den sivile beredskapen. Kommunene ber Justis- og beredskapsdepartementet ta innspillene med i det videre arbeidet med forskriften, tilhørende veiledning og den nasjonale oppfølgingen av tilfluktssteder og sivil beskyttelse.</w:t>
      </w:r>
    </w:p>
    <w:p w14:paraId="043603DF" w14:textId="0A98D2E4" w:rsidR="005E4445" w:rsidRPr="00F63BF1" w:rsidRDefault="00341155">
      <w:pPr>
        <w:spacing w:before="160" w:line="228" w:lineRule="auto"/>
        <w:rPr>
          <w:sz w:val="22"/>
          <w:szCs w:val="28"/>
          <w:lang w:val="nb-NO"/>
        </w:rPr>
      </w:pPr>
      <w:r w:rsidRPr="00F63BF1">
        <w:rPr>
          <w:sz w:val="22"/>
          <w:szCs w:val="28"/>
          <w:lang w:val="nb-NO"/>
        </w:rPr>
        <w:t>Målselv kommune</w:t>
      </w:r>
      <w:r w:rsidRPr="00F63BF1">
        <w:rPr>
          <w:sz w:val="22"/>
          <w:szCs w:val="28"/>
          <w:lang w:val="nb-NO"/>
        </w:rPr>
        <w:br/>
        <w:t>Bardu kommune</w:t>
      </w:r>
      <w:r w:rsidRPr="00F63BF1">
        <w:rPr>
          <w:sz w:val="22"/>
          <w:szCs w:val="28"/>
          <w:lang w:val="nb-NO"/>
        </w:rPr>
        <w:br/>
        <w:t>Sørreisa kommune</w:t>
      </w:r>
      <w:r w:rsidRPr="00F63BF1">
        <w:rPr>
          <w:sz w:val="22"/>
          <w:szCs w:val="28"/>
          <w:lang w:val="nb-NO"/>
        </w:rPr>
        <w:br/>
        <w:t>Balsfjord kommune</w:t>
      </w:r>
      <w:r w:rsidRPr="00F63BF1">
        <w:rPr>
          <w:sz w:val="22"/>
          <w:szCs w:val="28"/>
          <w:lang w:val="nb-NO"/>
        </w:rPr>
        <w:br/>
        <w:t>Dyrøy kommune</w:t>
      </w:r>
      <w:r w:rsidRPr="00F63BF1">
        <w:rPr>
          <w:sz w:val="22"/>
          <w:szCs w:val="28"/>
          <w:lang w:val="nb-NO"/>
        </w:rPr>
        <w:br/>
      </w:r>
      <w:r w:rsidRPr="00F63BF1">
        <w:rPr>
          <w:sz w:val="22"/>
          <w:szCs w:val="28"/>
          <w:lang w:val="nb-NO"/>
        </w:rPr>
        <w:t>Salangen kommune</w:t>
      </w:r>
      <w:r w:rsidRPr="00F63BF1">
        <w:rPr>
          <w:sz w:val="22"/>
          <w:szCs w:val="28"/>
          <w:lang w:val="nb-NO"/>
        </w:rPr>
        <w:br/>
        <w:t>Lavangen kommune</w:t>
      </w:r>
      <w:r w:rsidRPr="00F63BF1">
        <w:rPr>
          <w:sz w:val="22"/>
          <w:szCs w:val="28"/>
          <w:lang w:val="nb-NO"/>
        </w:rPr>
        <w:br/>
      </w:r>
    </w:p>
    <w:sectPr w:rsidR="005E4445" w:rsidRPr="00F63BF1">
      <w:footnotePr>
        <w:numRestart w:val="eachSect"/>
      </w:footnotePr>
      <w:pgSz w:w="12240" w:h="15840"/>
      <w:pgMar w:top="964" w:right="1134" w:bottom="96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3DACC" w14:textId="77777777" w:rsidR="00341155" w:rsidRDefault="00341155" w:rsidP="002B0E10">
      <w:pPr>
        <w:spacing w:after="0"/>
      </w:pPr>
      <w:r>
        <w:separator/>
      </w:r>
    </w:p>
  </w:endnote>
  <w:endnote w:type="continuationSeparator" w:id="0">
    <w:p w14:paraId="43B23DB5" w14:textId="77777777" w:rsidR="00341155" w:rsidRDefault="00341155" w:rsidP="002B0E1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2C981" w14:textId="77777777" w:rsidR="00341155" w:rsidRDefault="00341155" w:rsidP="002B0E10">
      <w:pPr>
        <w:spacing w:after="0"/>
      </w:pPr>
      <w:r>
        <w:separator/>
      </w:r>
    </w:p>
  </w:footnote>
  <w:footnote w:type="continuationSeparator" w:id="0">
    <w:p w14:paraId="4676FD00" w14:textId="77777777" w:rsidR="00341155" w:rsidRDefault="00341155" w:rsidP="002B0E1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3327DF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4B7D3D7D"/>
    <w:multiLevelType w:val="hybridMultilevel"/>
    <w:tmpl w:val="FBFEFAB0"/>
    <w:lvl w:ilvl="0" w:tplc="42F07020">
      <w:numFmt w:val="bullet"/>
      <w:lvlText w:val="-"/>
      <w:lvlJc w:val="left"/>
      <w:pPr>
        <w:ind w:left="720" w:hanging="360"/>
      </w:pPr>
      <w:rPr>
        <w:rFonts w:ascii="Aptos" w:eastAsiaTheme="minorEastAsia"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89544130">
    <w:abstractNumId w:val="0"/>
  </w:num>
  <w:num w:numId="2" w16cid:durableId="7861227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AC"/>
    <w:rsid w:val="00120339"/>
    <w:rsid w:val="00223D1F"/>
    <w:rsid w:val="002B0E10"/>
    <w:rsid w:val="00305BAC"/>
    <w:rsid w:val="00341155"/>
    <w:rsid w:val="004928B1"/>
    <w:rsid w:val="005555CC"/>
    <w:rsid w:val="005E4445"/>
    <w:rsid w:val="007D7088"/>
    <w:rsid w:val="00C30A7D"/>
    <w:rsid w:val="00C74519"/>
    <w:rsid w:val="00CC37D3"/>
    <w:rsid w:val="00D3685A"/>
    <w:rsid w:val="00E55057"/>
    <w:rsid w:val="00F33AB3"/>
    <w:rsid w:val="00F63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CFA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80"/>
    </w:pPr>
    <w:rPr>
      <w:rFonts w:ascii="Aptos" w:hAnsi="Aptos"/>
      <w:sz w:val="21"/>
    </w:rPr>
  </w:style>
  <w:style w:type="paragraph" w:styleId="Overskrift1">
    <w:name w:val="heading 1"/>
    <w:basedOn w:val="Normal"/>
    <w:next w:val="Brdtekst"/>
    <w:link w:val="Overskrift1Tegn"/>
    <w:uiPriority w:val="9"/>
    <w:qFormat/>
    <w:rsid w:val="00A10FD9"/>
    <w:pPr>
      <w:keepNext/>
      <w:keepLines/>
      <w:spacing w:before="360" w:after="120"/>
      <w:outlineLvl w:val="0"/>
    </w:pPr>
    <w:rPr>
      <w:rFonts w:asciiTheme="majorHAnsi" w:eastAsiaTheme="majorEastAsia" w:hAnsiTheme="majorHAnsi" w:cstheme="majorBidi"/>
      <w:color w:val="0F4761" w:themeColor="accent1" w:themeShade="BF"/>
      <w:sz w:val="30"/>
      <w:szCs w:val="40"/>
    </w:rPr>
  </w:style>
  <w:style w:type="paragraph" w:styleId="Overskrift2">
    <w:name w:val="heading 2"/>
    <w:basedOn w:val="Normal"/>
    <w:next w:val="Brdtekst"/>
    <w:link w:val="Overskrift2Tegn"/>
    <w:uiPriority w:val="9"/>
    <w:semiHidden/>
    <w:unhideWhenUsed/>
    <w:qFormat/>
    <w:rsid w:val="00A10FD9"/>
    <w:pPr>
      <w:keepNext/>
      <w:keepLines/>
      <w:spacing w:before="140" w:after="60"/>
      <w:outlineLvl w:val="1"/>
    </w:pPr>
    <w:rPr>
      <w:rFonts w:asciiTheme="majorHAnsi" w:eastAsiaTheme="majorEastAsia" w:hAnsiTheme="majorHAnsi" w:cstheme="majorBidi"/>
      <w:color w:val="0F4761" w:themeColor="accent1" w:themeShade="BF"/>
      <w:sz w:val="23"/>
      <w:szCs w:val="32"/>
    </w:rPr>
  </w:style>
  <w:style w:type="paragraph" w:styleId="Overskrift3">
    <w:name w:val="heading 3"/>
    <w:basedOn w:val="Normal"/>
    <w:next w:val="Brdtekst"/>
    <w:link w:val="Overskrift3Tegn"/>
    <w:uiPriority w:val="9"/>
    <w:semiHidden/>
    <w:unhideWhenUsed/>
    <w:qFormat/>
    <w:rsid w:val="00A10FD9"/>
    <w:pPr>
      <w:keepNext/>
      <w:keepLines/>
      <w:spacing w:before="160"/>
      <w:outlineLvl w:val="2"/>
    </w:pPr>
    <w:rPr>
      <w:rFonts w:eastAsiaTheme="majorEastAsia" w:cstheme="majorBidi"/>
      <w:color w:val="0F4761" w:themeColor="accent1" w:themeShade="BF"/>
      <w:sz w:val="28"/>
      <w:szCs w:val="28"/>
    </w:rPr>
  </w:style>
  <w:style w:type="paragraph" w:styleId="Overskrift4">
    <w:name w:val="heading 4"/>
    <w:basedOn w:val="Normal"/>
    <w:next w:val="Brdtekst"/>
    <w:link w:val="Overskrift4Tegn"/>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Brdtekst"/>
    <w:link w:val="Overskrift5Tegn"/>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Brdtekst"/>
    <w:link w:val="Overskrift6Tegn"/>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Brdtekst"/>
    <w:link w:val="Overskrift7Tegn"/>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Brdtekst"/>
    <w:link w:val="Overskrift8Tegn"/>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Brdtekst"/>
    <w:link w:val="Overskrift9Tegn"/>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qFormat/>
    <w:pPr>
      <w:spacing w:before="180" w:after="180"/>
    </w:pPr>
  </w:style>
  <w:style w:type="paragraph" w:customStyle="1" w:styleId="FirstParagraph">
    <w:name w:val="First Paragraph"/>
    <w:basedOn w:val="Brdtekst"/>
    <w:next w:val="Brdtekst"/>
    <w:qFormat/>
  </w:style>
  <w:style w:type="paragraph" w:customStyle="1" w:styleId="Compact">
    <w:name w:val="Compact"/>
    <w:basedOn w:val="Brdtekst"/>
    <w:qFormat/>
    <w:pPr>
      <w:spacing w:before="36" w:after="36"/>
    </w:pPr>
  </w:style>
  <w:style w:type="paragraph" w:styleId="Tittel">
    <w:name w:val="Title"/>
    <w:basedOn w:val="Normal"/>
    <w:next w:val="Brdtekst"/>
    <w:link w:val="TittelTegn"/>
    <w:uiPriority w:val="10"/>
    <w:qFormat/>
    <w:rsid w:val="00A10FD9"/>
    <w:pPr>
      <w:contextualSpacing/>
      <w:jc w:val="center"/>
    </w:pPr>
    <w:rPr>
      <w:rFonts w:asciiTheme="majorHAnsi" w:eastAsiaTheme="majorEastAsia" w:hAnsiTheme="majorHAnsi" w:cstheme="majorBidi"/>
      <w:sz w:val="56"/>
      <w:szCs w:val="56"/>
    </w:rPr>
  </w:style>
  <w:style w:type="character" w:customStyle="1" w:styleId="TittelTegn">
    <w:name w:val="Tittel Tegn"/>
    <w:basedOn w:val="Standardskriftforavsnitt"/>
    <w:link w:val="Tittel"/>
    <w:uiPriority w:val="10"/>
    <w:rsid w:val="00A10FD9"/>
    <w:rPr>
      <w:rFonts w:asciiTheme="majorHAnsi" w:eastAsiaTheme="majorEastAsia" w:hAnsiTheme="majorHAnsi" w:cstheme="majorBidi"/>
      <w:sz w:val="56"/>
      <w:szCs w:val="56"/>
    </w:rPr>
  </w:style>
  <w:style w:type="paragraph" w:styleId="Undertittel">
    <w:name w:val="Subtitle"/>
    <w:basedOn w:val="Tittel"/>
    <w:next w:val="Brdtekst"/>
    <w:link w:val="UndertittelTegn"/>
    <w:uiPriority w:val="11"/>
    <w:qFormat/>
    <w:rsid w:val="00A10FD9"/>
    <w:pPr>
      <w:numPr>
        <w:ilvl w:val="1"/>
      </w:numPr>
    </w:pPr>
    <w:rPr>
      <w:spacing w:val="15"/>
      <w:sz w:val="28"/>
      <w:szCs w:val="28"/>
    </w:rPr>
  </w:style>
  <w:style w:type="character" w:customStyle="1" w:styleId="UndertittelTegn">
    <w:name w:val="Undertittel Tegn"/>
    <w:basedOn w:val="Standardskriftforavsnitt"/>
    <w:link w:val="Undertittel"/>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tel"/>
    <w:next w:val="Brdtekst"/>
    <w:qFormat/>
    <w:pPr>
      <w:keepNext/>
      <w:keepLines/>
    </w:pPr>
    <w:rPr>
      <w:sz w:val="24"/>
      <w:szCs w:val="24"/>
    </w:rPr>
  </w:style>
  <w:style w:type="paragraph" w:styleId="Dato">
    <w:name w:val="Date"/>
    <w:basedOn w:val="Tittel"/>
    <w:next w:val="Brdteks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rdtekst"/>
    <w:qFormat/>
    <w:pPr>
      <w:keepNext/>
      <w:keepLines/>
      <w:spacing w:before="100" w:after="300"/>
    </w:pPr>
    <w:rPr>
      <w:sz w:val="20"/>
      <w:szCs w:val="20"/>
    </w:rPr>
  </w:style>
  <w:style w:type="paragraph" w:styleId="Bibliografi">
    <w:name w:val="Bibliography"/>
    <w:basedOn w:val="Normal"/>
    <w:qFormat/>
  </w:style>
  <w:style w:type="character" w:customStyle="1" w:styleId="Overskrift1Tegn">
    <w:name w:val="Overskrift 1 Tegn"/>
    <w:basedOn w:val="Standardskriftforavsnitt"/>
    <w:link w:val="Overskrift1"/>
    <w:uiPriority w:val="9"/>
    <w:rsid w:val="00A10FD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A10FD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A10FD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A10FD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A10FD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A10FD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A10FD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A10FD9"/>
    <w:rPr>
      <w:rFonts w:eastAsiaTheme="majorEastAsia" w:cstheme="majorBidi"/>
      <w:color w:val="272727" w:themeColor="text1" w:themeTint="D8"/>
    </w:rPr>
  </w:style>
  <w:style w:type="paragraph" w:styleId="Blokktekst">
    <w:name w:val="Block Text"/>
    <w:basedOn w:val="Brdtekst"/>
    <w:next w:val="Brdtekst"/>
    <w:uiPriority w:val="9"/>
    <w:unhideWhenUsed/>
    <w:qFormat/>
    <w:pPr>
      <w:spacing w:before="100" w:after="100"/>
      <w:ind w:left="480" w:right="480"/>
    </w:pPr>
  </w:style>
  <w:style w:type="paragraph" w:styleId="Fotnotetekst">
    <w:name w:val="footnote text"/>
    <w:basedOn w:val="Normal"/>
    <w:uiPriority w:val="9"/>
    <w:unhideWhenUsed/>
    <w:qFormat/>
  </w:style>
  <w:style w:type="paragraph" w:customStyle="1" w:styleId="FootnoteBlockText">
    <w:name w:val="Footnote Block Text"/>
    <w:basedOn w:val="Fotnotetekst"/>
    <w:next w:val="Fotnoteteks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Bildetekst">
    <w:name w:val="caption"/>
    <w:basedOn w:val="Normal"/>
    <w:link w:val="BildetekstTegn"/>
    <w:pPr>
      <w:spacing w:after="120"/>
    </w:pPr>
    <w:rPr>
      <w:i/>
    </w:rPr>
  </w:style>
  <w:style w:type="paragraph" w:customStyle="1" w:styleId="TableCaption">
    <w:name w:val="Table Caption"/>
    <w:basedOn w:val="Bildetekst"/>
    <w:pPr>
      <w:keepNext/>
    </w:pPr>
  </w:style>
  <w:style w:type="paragraph" w:customStyle="1" w:styleId="ImageCaption">
    <w:name w:val="Image Caption"/>
    <w:basedOn w:val="Bildetekst"/>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ildetekstTegn">
    <w:name w:val="Bildetekst Tegn"/>
    <w:basedOn w:val="Standardskriftforavsnitt"/>
    <w:link w:val="Bildetekst"/>
  </w:style>
  <w:style w:type="character" w:customStyle="1" w:styleId="VerbatimChar">
    <w:name w:val="Verbatim Char"/>
    <w:basedOn w:val="BildetekstTegn"/>
    <w:link w:val="SourceCode"/>
    <w:rPr>
      <w:rFonts w:ascii="Consolas" w:hAnsi="Consolas"/>
      <w:sz w:val="22"/>
    </w:rPr>
  </w:style>
  <w:style w:type="character" w:customStyle="1" w:styleId="SectionNumber">
    <w:name w:val="Section Number"/>
    <w:basedOn w:val="BildetekstTegn"/>
  </w:style>
  <w:style w:type="character" w:styleId="Fotnotereferanse">
    <w:name w:val="footnote reference"/>
    <w:basedOn w:val="BildetekstTegn"/>
    <w:rPr>
      <w:vertAlign w:val="superscript"/>
    </w:rPr>
  </w:style>
  <w:style w:type="character" w:styleId="Hyperkobling">
    <w:name w:val="Hyperlink"/>
    <w:basedOn w:val="BildetekstTegn"/>
    <w:rPr>
      <w:color w:val="156082" w:themeColor="accent1"/>
    </w:rPr>
  </w:style>
  <w:style w:type="paragraph" w:styleId="Overskriftforinnholdsfortegnelse">
    <w:name w:val="TOC Heading"/>
    <w:basedOn w:val="Overskrift1"/>
    <w:next w:val="Brdteks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Listeavsnitt">
    <w:name w:val="List Paragraph"/>
    <w:basedOn w:val="Normal"/>
    <w:rsid w:val="00F63BF1"/>
    <w:pPr>
      <w:ind w:left="720"/>
      <w:contextualSpacing/>
    </w:pPr>
  </w:style>
  <w:style w:type="paragraph" w:styleId="Topptekst">
    <w:name w:val="header"/>
    <w:basedOn w:val="Normal"/>
    <w:link w:val="TopptekstTegn"/>
    <w:rsid w:val="002B0E10"/>
    <w:pPr>
      <w:tabs>
        <w:tab w:val="center" w:pos="4536"/>
        <w:tab w:val="right" w:pos="9072"/>
      </w:tabs>
      <w:spacing w:after="0"/>
    </w:pPr>
  </w:style>
  <w:style w:type="character" w:customStyle="1" w:styleId="TopptekstTegn">
    <w:name w:val="Topptekst Tegn"/>
    <w:basedOn w:val="Standardskriftforavsnitt"/>
    <w:link w:val="Topptekst"/>
    <w:rsid w:val="002B0E10"/>
    <w:rPr>
      <w:rFonts w:ascii="Aptos" w:hAnsi="Aptos"/>
      <w:sz w:val="21"/>
    </w:rPr>
  </w:style>
  <w:style w:type="paragraph" w:styleId="Bunntekst">
    <w:name w:val="footer"/>
    <w:basedOn w:val="Normal"/>
    <w:link w:val="BunntekstTegn"/>
    <w:rsid w:val="002B0E10"/>
    <w:pPr>
      <w:tabs>
        <w:tab w:val="center" w:pos="4536"/>
        <w:tab w:val="right" w:pos="9072"/>
      </w:tabs>
      <w:spacing w:after="0"/>
    </w:pPr>
  </w:style>
  <w:style w:type="character" w:customStyle="1" w:styleId="BunntekstTegn">
    <w:name w:val="Bunntekst Tegn"/>
    <w:basedOn w:val="Standardskriftforavsnitt"/>
    <w:link w:val="Bunntekst"/>
    <w:rsid w:val="002B0E10"/>
    <w:rPr>
      <w:rFonts w:ascii="Aptos" w:hAnsi="Apto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1060</Words>
  <Characters>5618</Characters>
  <Application>Microsoft Office Word</Application>
  <DocSecurity>0</DocSecurity>
  <Lines>46</Lines>
  <Paragraphs>13</Paragraphs>
  <ScaleCrop>false</ScaleCrop>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2026-09-11T07:15:00Z</dcterms:created>
  <dcterms:modified xsi:type="dcterms:W3CDTF">2026-09-11T07:15:00Z</dcterms:modified>
</cp:coreProperties>
</file>