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90C8" w14:textId="77777777" w:rsidR="008B2936" w:rsidRPr="00E76191" w:rsidRDefault="00FF05C6" w:rsidP="00FF05C6">
      <w:pPr>
        <w:tabs>
          <w:tab w:val="left" w:pos="2535"/>
        </w:tabs>
      </w:pPr>
      <w:r w:rsidRPr="00E76191">
        <w:tab/>
      </w:r>
    </w:p>
    <w:p w14:paraId="1FFCCD04" w14:textId="77777777" w:rsidR="003912B0" w:rsidRDefault="00E76191" w:rsidP="00E76191">
      <w:pPr>
        <w:rPr>
          <w:rFonts w:ascii="Calibri" w:eastAsiaTheme="majorEastAsia" w:hAnsi="Calibri" w:cstheme="majorBidi"/>
          <w:b/>
          <w:bCs/>
          <w:szCs w:val="28"/>
        </w:rPr>
      </w:pPr>
      <w:r w:rsidRPr="00E76191">
        <w:rPr>
          <w:rFonts w:ascii="Calibri" w:eastAsiaTheme="majorEastAsia" w:hAnsi="Calibri" w:cstheme="majorBidi"/>
          <w:b/>
          <w:bCs/>
        </w:rPr>
        <w:t>Statsforvalteren</w:t>
      </w:r>
      <w:r w:rsidRPr="00E76191">
        <w:rPr>
          <w:rFonts w:ascii="Calibri" w:eastAsiaTheme="majorEastAsia" w:hAnsi="Calibri" w:cstheme="majorBidi"/>
          <w:b/>
          <w:bCs/>
          <w:szCs w:val="28"/>
        </w:rPr>
        <w:t xml:space="preserve"> i Agder</w:t>
      </w:r>
      <w:r w:rsidR="003912B0">
        <w:rPr>
          <w:rFonts w:ascii="Calibri" w:eastAsiaTheme="majorEastAsia" w:hAnsi="Calibri" w:cstheme="majorBidi"/>
          <w:b/>
          <w:bCs/>
          <w:szCs w:val="28"/>
        </w:rPr>
        <w:t xml:space="preserve"> </w:t>
      </w:r>
    </w:p>
    <w:p w14:paraId="3FDF0ACA" w14:textId="155CB0F1" w:rsidR="003912B0" w:rsidRPr="00F153F4" w:rsidRDefault="003912B0" w:rsidP="00E76191">
      <w:pPr>
        <w:rPr>
          <w:rFonts w:ascii="Calibri" w:eastAsiaTheme="majorEastAsia" w:hAnsi="Calibri" w:cstheme="majorBidi"/>
          <w:szCs w:val="28"/>
        </w:rPr>
      </w:pPr>
      <w:r w:rsidRPr="00F153F4">
        <w:rPr>
          <w:rFonts w:ascii="Calibri" w:eastAsiaTheme="majorEastAsia" w:hAnsi="Calibri" w:cstheme="majorBidi"/>
          <w:szCs w:val="28"/>
        </w:rPr>
        <w:t>v/Gunnar Refsland</w:t>
      </w:r>
    </w:p>
    <w:p w14:paraId="02CA8A31" w14:textId="77777777" w:rsidR="00876844" w:rsidRDefault="00876844" w:rsidP="00E76191">
      <w:pPr>
        <w:rPr>
          <w:rFonts w:ascii="Calibri" w:eastAsiaTheme="majorEastAsia" w:hAnsi="Calibri" w:cstheme="majorBidi"/>
          <w:b/>
          <w:bCs/>
          <w:szCs w:val="28"/>
        </w:rPr>
      </w:pPr>
    </w:p>
    <w:p w14:paraId="59DB6323" w14:textId="62AD2BEC" w:rsidR="00876844" w:rsidRDefault="00E76191" w:rsidP="00E76191">
      <w:pPr>
        <w:rPr>
          <w:rFonts w:ascii="Calibri" w:eastAsiaTheme="majorEastAsia" w:hAnsi="Calibri" w:cstheme="majorBidi"/>
          <w:szCs w:val="28"/>
        </w:rPr>
      </w:pPr>
      <w:r w:rsidRPr="00E76191">
        <w:rPr>
          <w:rFonts w:ascii="Calibri" w:eastAsiaTheme="majorEastAsia" w:hAnsi="Calibri" w:cstheme="majorBidi"/>
          <w:b/>
          <w:bCs/>
          <w:szCs w:val="28"/>
        </w:rPr>
        <w:br/>
      </w:r>
      <w:r w:rsidRPr="00E76191">
        <w:rPr>
          <w:rFonts w:ascii="Calibri" w:eastAsiaTheme="majorEastAsia" w:hAnsi="Calibri" w:cstheme="majorBidi"/>
          <w:szCs w:val="28"/>
        </w:rPr>
        <w:t xml:space="preserve">Vår ref.: </w:t>
      </w:r>
      <w:r w:rsidR="000D130D">
        <w:rPr>
          <w:rFonts w:ascii="Calibri" w:eastAsiaTheme="majorEastAsia" w:hAnsi="Calibri" w:cstheme="majorBidi"/>
          <w:szCs w:val="28"/>
        </w:rPr>
        <w:t>17/25</w:t>
      </w:r>
      <w:r w:rsidRPr="00E76191">
        <w:rPr>
          <w:rFonts w:ascii="Calibri" w:eastAsiaTheme="majorEastAsia" w:hAnsi="Calibri" w:cstheme="majorBidi"/>
          <w:szCs w:val="28"/>
        </w:rPr>
        <w:t xml:space="preserve"> – Deres ref.: 2025/12122</w:t>
      </w:r>
    </w:p>
    <w:p w14:paraId="3FD4B6BC" w14:textId="6376A66C" w:rsidR="00E76191" w:rsidRPr="00E76191" w:rsidRDefault="00E76191" w:rsidP="00E76191">
      <w:pPr>
        <w:rPr>
          <w:rFonts w:ascii="Calibri" w:eastAsiaTheme="majorEastAsia" w:hAnsi="Calibri" w:cstheme="majorBidi"/>
          <w:szCs w:val="28"/>
        </w:rPr>
      </w:pPr>
      <w:r w:rsidRPr="00E76191">
        <w:rPr>
          <w:rFonts w:ascii="Calibri" w:eastAsiaTheme="majorEastAsia" w:hAnsi="Calibri" w:cstheme="majorBidi"/>
          <w:szCs w:val="28"/>
        </w:rPr>
        <w:t xml:space="preserve">Dato: </w:t>
      </w:r>
      <w:r w:rsidR="00880002" w:rsidRPr="00F153F4">
        <w:rPr>
          <w:rFonts w:ascii="Calibri" w:eastAsiaTheme="majorEastAsia" w:hAnsi="Calibri" w:cstheme="majorBidi"/>
          <w:szCs w:val="28"/>
        </w:rPr>
        <w:t>09</w:t>
      </w:r>
      <w:r w:rsidRPr="00E76191">
        <w:rPr>
          <w:rFonts w:ascii="Calibri" w:eastAsiaTheme="majorEastAsia" w:hAnsi="Calibri" w:cstheme="majorBidi"/>
          <w:szCs w:val="28"/>
        </w:rPr>
        <w:t>.</w:t>
      </w:r>
      <w:r w:rsidR="00880002" w:rsidRPr="00F153F4">
        <w:rPr>
          <w:rFonts w:ascii="Calibri" w:eastAsiaTheme="majorEastAsia" w:hAnsi="Calibri" w:cstheme="majorBidi"/>
          <w:szCs w:val="28"/>
        </w:rPr>
        <w:t>12</w:t>
      </w:r>
      <w:r w:rsidRPr="00E76191">
        <w:rPr>
          <w:rFonts w:ascii="Calibri" w:eastAsiaTheme="majorEastAsia" w:hAnsi="Calibri" w:cstheme="majorBidi"/>
          <w:szCs w:val="28"/>
        </w:rPr>
        <w:t>.2025</w:t>
      </w:r>
    </w:p>
    <w:p w14:paraId="5E732F60" w14:textId="77777777" w:rsidR="00E76191" w:rsidRPr="00E76191" w:rsidRDefault="00E76191" w:rsidP="00E76191">
      <w:pPr>
        <w:rPr>
          <w:rFonts w:ascii="Calibri" w:eastAsiaTheme="majorEastAsia" w:hAnsi="Calibri" w:cstheme="majorBidi"/>
          <w:szCs w:val="28"/>
        </w:rPr>
      </w:pPr>
      <w:r w:rsidRPr="00E76191">
        <w:rPr>
          <w:rFonts w:ascii="Calibri" w:eastAsiaTheme="majorEastAsia" w:hAnsi="Calibri" w:cstheme="majorBidi"/>
          <w:b/>
          <w:bCs/>
          <w:szCs w:val="28"/>
        </w:rPr>
        <w:t> </w:t>
      </w:r>
    </w:p>
    <w:p w14:paraId="03ED50FE" w14:textId="77777777" w:rsidR="00E76191" w:rsidRPr="00E76191" w:rsidRDefault="00E76191" w:rsidP="00E76191">
      <w:pPr>
        <w:rPr>
          <w:rFonts w:ascii="Calibri" w:eastAsiaTheme="majorEastAsia" w:hAnsi="Calibri" w:cstheme="majorBidi"/>
          <w:sz w:val="28"/>
          <w:szCs w:val="36"/>
        </w:rPr>
      </w:pPr>
      <w:r w:rsidRPr="00E76191">
        <w:rPr>
          <w:rFonts w:ascii="Calibri" w:eastAsiaTheme="majorEastAsia" w:hAnsi="Calibri" w:cstheme="majorBidi"/>
          <w:b/>
          <w:bCs/>
          <w:sz w:val="28"/>
          <w:szCs w:val="36"/>
        </w:rPr>
        <w:t>Tilsvar – varsel om lovlighetskontroll av Farsund kommunes vedtak 11.03.2025 (dispensasjon gnr/</w:t>
      </w:r>
      <w:proofErr w:type="gramStart"/>
      <w:r w:rsidRPr="00E76191">
        <w:rPr>
          <w:rFonts w:ascii="Calibri" w:eastAsiaTheme="majorEastAsia" w:hAnsi="Calibri" w:cstheme="majorBidi"/>
          <w:b/>
          <w:bCs/>
          <w:sz w:val="28"/>
          <w:szCs w:val="36"/>
        </w:rPr>
        <w:t>bnr</w:t>
      </w:r>
      <w:proofErr w:type="gramEnd"/>
      <w:r w:rsidRPr="00E76191">
        <w:rPr>
          <w:rFonts w:ascii="Calibri" w:eastAsiaTheme="majorEastAsia" w:hAnsi="Calibri" w:cstheme="majorBidi"/>
          <w:b/>
          <w:bCs/>
          <w:sz w:val="28"/>
          <w:szCs w:val="36"/>
        </w:rPr>
        <w:t xml:space="preserve"> 185/14 – hytte, bod, brygge og deling)</w:t>
      </w:r>
    </w:p>
    <w:p w14:paraId="4248CEF4" w14:textId="77777777" w:rsidR="00E76191" w:rsidRPr="00E76191" w:rsidRDefault="00E76191" w:rsidP="00E76191">
      <w:pPr>
        <w:rPr>
          <w:rFonts w:ascii="Calibri" w:eastAsiaTheme="majorEastAsia" w:hAnsi="Calibri" w:cstheme="majorBidi"/>
          <w:szCs w:val="28"/>
        </w:rPr>
      </w:pPr>
      <w:r w:rsidRPr="00E76191">
        <w:rPr>
          <w:rFonts w:ascii="Calibri" w:eastAsiaTheme="majorEastAsia" w:hAnsi="Calibri" w:cstheme="majorBidi"/>
          <w:szCs w:val="28"/>
        </w:rPr>
        <w:t> </w:t>
      </w:r>
    </w:p>
    <w:p w14:paraId="4FFD159F" w14:textId="229CDB08" w:rsidR="00E76191" w:rsidRPr="00E76191" w:rsidRDefault="00AE4B9D" w:rsidP="00E76191">
      <w:pPr>
        <w:rPr>
          <w:rFonts w:ascii="Calibri" w:eastAsiaTheme="majorEastAsia" w:hAnsi="Calibri" w:cstheme="majorBidi"/>
          <w:szCs w:val="28"/>
        </w:rPr>
      </w:pPr>
      <w:r>
        <w:rPr>
          <w:rFonts w:ascii="Calibri" w:eastAsiaTheme="majorEastAsia" w:hAnsi="Calibri" w:cstheme="majorBidi"/>
          <w:szCs w:val="28"/>
        </w:rPr>
        <w:t>Utvalg for teknisk</w:t>
      </w:r>
      <w:r w:rsidR="00E76191" w:rsidRPr="00E76191">
        <w:rPr>
          <w:rFonts w:ascii="Calibri" w:eastAsiaTheme="majorEastAsia" w:hAnsi="Calibri" w:cstheme="majorBidi"/>
          <w:szCs w:val="28"/>
        </w:rPr>
        <w:t xml:space="preserve"> viser til deres varsel 28.11.2025 om mulig lovlighetskontroll etter kommuneloven § 27</w:t>
      </w:r>
      <w:r w:rsidR="00E76191" w:rsidRPr="00E76191">
        <w:rPr>
          <w:rFonts w:ascii="Calibri" w:eastAsiaTheme="majorEastAsia" w:hAnsi="Calibri" w:cstheme="majorBidi"/>
          <w:szCs w:val="28"/>
        </w:rPr>
        <w:noBreakHyphen/>
        <w:t>1, og ber om å få innta følgende:</w:t>
      </w:r>
    </w:p>
    <w:p w14:paraId="6C529A06" w14:textId="70ECA4B2" w:rsidR="004213D6" w:rsidRPr="004213D6" w:rsidRDefault="004213D6" w:rsidP="004213D6">
      <w:pPr>
        <w:rPr>
          <w:rFonts w:ascii="Calibri" w:eastAsiaTheme="majorEastAsia" w:hAnsi="Calibri" w:cstheme="majorBidi"/>
          <w:szCs w:val="28"/>
        </w:rPr>
      </w:pPr>
      <w:r w:rsidRPr="004213D6">
        <w:rPr>
          <w:rFonts w:ascii="Calibri" w:eastAsiaTheme="majorEastAsia" w:hAnsi="Calibri" w:cstheme="majorBidi"/>
          <w:b/>
          <w:bCs/>
          <w:szCs w:val="28"/>
        </w:rPr>
        <w:t>Saken ble behandlet i tråd med Sivilombudets skisserte praksis for dispens</w:t>
      </w:r>
      <w:r w:rsidR="009621E6">
        <w:rPr>
          <w:rFonts w:ascii="Calibri" w:eastAsiaTheme="majorEastAsia" w:hAnsi="Calibri" w:cstheme="majorBidi"/>
          <w:b/>
          <w:bCs/>
          <w:szCs w:val="28"/>
        </w:rPr>
        <w:t>asjons</w:t>
      </w:r>
      <w:r w:rsidRPr="004213D6">
        <w:rPr>
          <w:rFonts w:ascii="Calibri" w:eastAsiaTheme="majorEastAsia" w:hAnsi="Calibri" w:cstheme="majorBidi"/>
          <w:b/>
          <w:bCs/>
          <w:szCs w:val="28"/>
        </w:rPr>
        <w:t xml:space="preserve">saker etter </w:t>
      </w:r>
      <w:proofErr w:type="spellStart"/>
      <w:r w:rsidRPr="004213D6">
        <w:rPr>
          <w:rFonts w:ascii="Calibri" w:eastAsiaTheme="majorEastAsia" w:hAnsi="Calibri" w:cstheme="majorBidi"/>
          <w:b/>
          <w:bCs/>
          <w:szCs w:val="28"/>
        </w:rPr>
        <w:t>pbl</w:t>
      </w:r>
      <w:proofErr w:type="spellEnd"/>
      <w:r w:rsidRPr="004213D6">
        <w:rPr>
          <w:rFonts w:ascii="Calibri" w:eastAsiaTheme="majorEastAsia" w:hAnsi="Calibri" w:cstheme="majorBidi"/>
          <w:b/>
          <w:bCs/>
          <w:szCs w:val="28"/>
        </w:rPr>
        <w:t xml:space="preserve"> § 19-1</w:t>
      </w:r>
      <w:r w:rsidR="006D3C26">
        <w:rPr>
          <w:rFonts w:ascii="Calibri" w:eastAsiaTheme="majorEastAsia" w:hAnsi="Calibri" w:cstheme="majorBidi"/>
          <w:b/>
          <w:bCs/>
          <w:szCs w:val="28"/>
        </w:rPr>
        <w:t>.</w:t>
      </w:r>
    </w:p>
    <w:p w14:paraId="170EC3D5" w14:textId="77777777" w:rsidR="004213D6" w:rsidRPr="004213D6" w:rsidRDefault="004213D6" w:rsidP="004213D6">
      <w:pPr>
        <w:rPr>
          <w:rFonts w:ascii="Calibri" w:eastAsiaTheme="majorEastAsia" w:hAnsi="Calibri" w:cstheme="majorBidi"/>
          <w:szCs w:val="28"/>
        </w:rPr>
      </w:pPr>
      <w:r w:rsidRPr="004213D6">
        <w:rPr>
          <w:rFonts w:ascii="Calibri" w:eastAsiaTheme="majorEastAsia" w:hAnsi="Calibri" w:cstheme="majorBidi"/>
          <w:b/>
          <w:bCs/>
          <w:szCs w:val="28"/>
        </w:rPr>
        <w:t>Forutsigbarhet i forvaltningsloven</w:t>
      </w:r>
      <w:r w:rsidRPr="004213D6">
        <w:rPr>
          <w:rFonts w:ascii="Calibri" w:eastAsiaTheme="majorEastAsia" w:hAnsi="Calibri" w:cstheme="majorBidi"/>
          <w:szCs w:val="28"/>
        </w:rPr>
        <w:t> tilsier at borgerne skal kunne forstå prosessen, vite hvilke rettigheter de har, og vite når fattede vedtak kan forstås som endelige. </w:t>
      </w:r>
    </w:p>
    <w:p w14:paraId="1B9DF39B" w14:textId="1795F494" w:rsidR="004213D6" w:rsidRPr="004213D6" w:rsidRDefault="004213D6" w:rsidP="004213D6">
      <w:pPr>
        <w:rPr>
          <w:rFonts w:ascii="Calibri" w:eastAsiaTheme="majorEastAsia" w:hAnsi="Calibri" w:cstheme="majorBidi"/>
          <w:szCs w:val="28"/>
        </w:rPr>
      </w:pPr>
      <w:r w:rsidRPr="004213D6">
        <w:rPr>
          <w:rFonts w:ascii="Calibri" w:eastAsiaTheme="majorEastAsia" w:hAnsi="Calibri" w:cstheme="majorBidi"/>
          <w:szCs w:val="28"/>
        </w:rPr>
        <w:t>Ved beslutning av om saken skal tas opp til lovlighetskontroll bør Statsforvalteren også vektlegge at Statsforvalteren sent har innrettet seg etter Sivilombudets uttalelse</w:t>
      </w:r>
      <w:r w:rsidR="000766BC">
        <w:rPr>
          <w:rFonts w:ascii="Calibri" w:eastAsiaTheme="majorEastAsia" w:hAnsi="Calibri" w:cstheme="majorBidi"/>
          <w:szCs w:val="28"/>
        </w:rPr>
        <w:t xml:space="preserve"> 1</w:t>
      </w:r>
      <w:r w:rsidR="002A1F54">
        <w:rPr>
          <w:rFonts w:ascii="Calibri" w:eastAsiaTheme="majorEastAsia" w:hAnsi="Calibri" w:cstheme="majorBidi"/>
          <w:szCs w:val="28"/>
        </w:rPr>
        <w:t>8.03.2024</w:t>
      </w:r>
      <w:r w:rsidRPr="004213D6">
        <w:rPr>
          <w:rFonts w:ascii="Calibri" w:eastAsiaTheme="majorEastAsia" w:hAnsi="Calibri" w:cstheme="majorBidi"/>
          <w:szCs w:val="28"/>
        </w:rPr>
        <w:t xml:space="preserve">, og at det i utgangspunktet er uheldig å ta opp spørsmål om lovlighetskontroll i en sak hvor det kan stilles spørsmål om </w:t>
      </w:r>
      <w:r w:rsidR="003C313B" w:rsidRPr="004213D6">
        <w:rPr>
          <w:rFonts w:ascii="Calibri" w:eastAsiaTheme="majorEastAsia" w:hAnsi="Calibri" w:cstheme="majorBidi"/>
          <w:szCs w:val="28"/>
        </w:rPr>
        <w:t>embetets</w:t>
      </w:r>
      <w:r w:rsidRPr="004213D6">
        <w:rPr>
          <w:rFonts w:ascii="Calibri" w:eastAsiaTheme="majorEastAsia" w:hAnsi="Calibri" w:cstheme="majorBidi"/>
          <w:szCs w:val="28"/>
        </w:rPr>
        <w:t xml:space="preserve"> egen praksis har vært i tråd med PBL § 19-1. </w:t>
      </w:r>
    </w:p>
    <w:p w14:paraId="11D7FC51" w14:textId="642CD350" w:rsidR="00E76191" w:rsidRPr="00E76191" w:rsidRDefault="00E76191" w:rsidP="00E76191">
      <w:pPr>
        <w:rPr>
          <w:rFonts w:ascii="Calibri" w:eastAsiaTheme="majorEastAsia" w:hAnsi="Calibri" w:cstheme="majorBidi"/>
          <w:szCs w:val="28"/>
        </w:rPr>
      </w:pPr>
      <w:r w:rsidRPr="00E76191">
        <w:rPr>
          <w:rFonts w:ascii="Calibri" w:eastAsiaTheme="majorEastAsia" w:hAnsi="Calibri" w:cstheme="majorBidi"/>
          <w:b/>
          <w:bCs/>
          <w:szCs w:val="28"/>
        </w:rPr>
        <w:t>Om tidspunktet for varsel om lovlighetskontroll</w:t>
      </w:r>
      <w:r w:rsidRPr="00E76191">
        <w:rPr>
          <w:rFonts w:ascii="Calibri" w:eastAsiaTheme="majorEastAsia" w:hAnsi="Calibri" w:cstheme="majorBidi"/>
          <w:b/>
          <w:bCs/>
          <w:szCs w:val="28"/>
        </w:rPr>
        <w:br/>
      </w:r>
      <w:r w:rsidRPr="00E76191">
        <w:rPr>
          <w:rFonts w:ascii="Calibri" w:eastAsiaTheme="majorEastAsia" w:hAnsi="Calibri" w:cstheme="majorBidi"/>
          <w:szCs w:val="28"/>
        </w:rPr>
        <w:t>Kommuneloven § 27</w:t>
      </w:r>
      <w:r w:rsidRPr="00E76191">
        <w:rPr>
          <w:rFonts w:ascii="Calibri" w:eastAsiaTheme="majorEastAsia" w:hAnsi="Calibri" w:cstheme="majorBidi"/>
          <w:szCs w:val="28"/>
        </w:rPr>
        <w:noBreakHyphen/>
        <w:t xml:space="preserve">1 åpner for kontroll på eget tiltak </w:t>
      </w:r>
      <w:r w:rsidRPr="00E76191">
        <w:rPr>
          <w:rFonts w:ascii="Calibri" w:eastAsiaTheme="majorEastAsia" w:hAnsi="Calibri" w:cstheme="majorBidi"/>
          <w:i/>
          <w:iCs/>
          <w:szCs w:val="28"/>
        </w:rPr>
        <w:t>dersom særlige grunner tilsier det</w:t>
      </w:r>
      <w:r w:rsidRPr="00E76191">
        <w:rPr>
          <w:rFonts w:ascii="Calibri" w:eastAsiaTheme="majorEastAsia" w:hAnsi="Calibri" w:cstheme="majorBidi"/>
          <w:szCs w:val="28"/>
        </w:rPr>
        <w:t>. Bestemmelsen inneholder ikke en eksplisitt frist for Statsforvalterens adgang, men når Statsforvalteren selv har etablert en 4</w:t>
      </w:r>
      <w:r w:rsidRPr="00E76191">
        <w:rPr>
          <w:rFonts w:ascii="Calibri" w:eastAsiaTheme="majorEastAsia" w:hAnsi="Calibri" w:cstheme="majorBidi"/>
          <w:szCs w:val="28"/>
        </w:rPr>
        <w:noBreakHyphen/>
        <w:t>ukers ramme for høringsuttalelser med klare forventninger til kommunens videre behandling, vil en sen igangsetting av lovlighetskontroll uten nærmere begrunnelse svekke forutberegneligheten for både tiltakshaver og kommunen.</w:t>
      </w:r>
    </w:p>
    <w:p w14:paraId="1F6EC006" w14:textId="362E0E13" w:rsidR="00E76191" w:rsidRPr="00E76191" w:rsidRDefault="00E76191" w:rsidP="00E76191">
      <w:pPr>
        <w:rPr>
          <w:rFonts w:ascii="Calibri" w:eastAsiaTheme="majorEastAsia" w:hAnsi="Calibri" w:cstheme="majorBidi"/>
          <w:szCs w:val="28"/>
        </w:rPr>
      </w:pPr>
      <w:r w:rsidRPr="00E76191">
        <w:rPr>
          <w:rFonts w:ascii="Calibri" w:eastAsiaTheme="majorEastAsia" w:hAnsi="Calibri" w:cstheme="majorBidi"/>
          <w:b/>
          <w:bCs/>
          <w:szCs w:val="28"/>
        </w:rPr>
        <w:t>Manglende begrunnelse for «særlige grunner»</w:t>
      </w:r>
      <w:r w:rsidRPr="00E76191">
        <w:rPr>
          <w:rFonts w:ascii="Calibri" w:eastAsiaTheme="majorEastAsia" w:hAnsi="Calibri" w:cstheme="majorBidi"/>
          <w:b/>
          <w:bCs/>
          <w:szCs w:val="28"/>
        </w:rPr>
        <w:br/>
      </w:r>
      <w:r w:rsidRPr="00E76191">
        <w:rPr>
          <w:rFonts w:ascii="Calibri" w:eastAsiaTheme="majorEastAsia" w:hAnsi="Calibri" w:cstheme="majorBidi"/>
          <w:szCs w:val="28"/>
        </w:rPr>
        <w:t>Vi kan ikke se at varselet av 28.11.2025 angir hvilke særlige grunner som begrunner kontrollen. Kommuneloven § 27</w:t>
      </w:r>
      <w:r w:rsidRPr="00E76191">
        <w:rPr>
          <w:rFonts w:ascii="Calibri" w:eastAsiaTheme="majorEastAsia" w:hAnsi="Calibri" w:cstheme="majorBidi"/>
          <w:szCs w:val="28"/>
        </w:rPr>
        <w:noBreakHyphen/>
        <w:t>1 forutsetter at lovlighetskontroll på eget tiltak bare kan åpnes dersom slike grunner foreligger. Manglende begrunnelse svekker rettssikkerheten og forutberegneligheten. Vi ber derfor om at Statsforvalteren redegjør konkret for hvilke forhold som anses som særlige grunner, før eventuell kontroll gjennomføres.</w:t>
      </w:r>
    </w:p>
    <w:p w14:paraId="25BAD11E" w14:textId="7D60BE0F" w:rsidR="00E76191" w:rsidRPr="00E76191" w:rsidRDefault="00E76191" w:rsidP="00E76191">
      <w:pPr>
        <w:rPr>
          <w:rFonts w:ascii="Calibri" w:eastAsiaTheme="majorEastAsia" w:hAnsi="Calibri" w:cstheme="majorBidi"/>
          <w:szCs w:val="28"/>
        </w:rPr>
      </w:pPr>
      <w:r w:rsidRPr="00E76191">
        <w:rPr>
          <w:rFonts w:ascii="Calibri" w:eastAsiaTheme="majorEastAsia" w:hAnsi="Calibri" w:cstheme="majorBidi"/>
          <w:b/>
          <w:bCs/>
          <w:szCs w:val="28"/>
        </w:rPr>
        <w:t>Innrettelse etter vedtaket</w:t>
      </w:r>
      <w:r w:rsidRPr="00E76191">
        <w:rPr>
          <w:rFonts w:ascii="Calibri" w:eastAsiaTheme="majorEastAsia" w:hAnsi="Calibri" w:cstheme="majorBidi"/>
          <w:b/>
          <w:bCs/>
          <w:szCs w:val="28"/>
        </w:rPr>
        <w:br/>
      </w:r>
      <w:r w:rsidRPr="00E76191">
        <w:rPr>
          <w:rFonts w:ascii="Calibri" w:eastAsiaTheme="majorEastAsia" w:hAnsi="Calibri" w:cstheme="majorBidi"/>
          <w:szCs w:val="28"/>
        </w:rPr>
        <w:t xml:space="preserve">Vi opplyser at det er gitt rammetillatelse, men ikke igangsettingstillatelse. Tiltakshaver har </w:t>
      </w:r>
      <w:proofErr w:type="gramStart"/>
      <w:r w:rsidRPr="00E76191">
        <w:rPr>
          <w:rFonts w:ascii="Calibri" w:eastAsiaTheme="majorEastAsia" w:hAnsi="Calibri" w:cstheme="majorBidi"/>
          <w:szCs w:val="28"/>
        </w:rPr>
        <w:t>således</w:t>
      </w:r>
      <w:proofErr w:type="gramEnd"/>
      <w:r w:rsidRPr="00E76191">
        <w:rPr>
          <w:rFonts w:ascii="Calibri" w:eastAsiaTheme="majorEastAsia" w:hAnsi="Calibri" w:cstheme="majorBidi"/>
          <w:szCs w:val="28"/>
        </w:rPr>
        <w:t xml:space="preserve"> innrettet seg i et visst omfang, men tiltak er ikke igangsatt. Dette tilsier at eventuelle reaksjoner må </w:t>
      </w:r>
      <w:r w:rsidRPr="00E76191">
        <w:rPr>
          <w:rFonts w:ascii="Calibri" w:eastAsiaTheme="majorEastAsia" w:hAnsi="Calibri" w:cstheme="majorBidi"/>
          <w:szCs w:val="28"/>
        </w:rPr>
        <w:lastRenderedPageBreak/>
        <w:t>avveie innrettelseshensyn og Statsforvalterens egne forutberegnelighetsskapende uttalelser fra 05.03.2025.</w:t>
      </w:r>
    </w:p>
    <w:p w14:paraId="7D9B3FAD" w14:textId="681460E5" w:rsidR="00E76191" w:rsidRPr="00E76191" w:rsidRDefault="00E76191" w:rsidP="00E76191">
      <w:pPr>
        <w:rPr>
          <w:rFonts w:ascii="Calibri" w:eastAsiaTheme="majorEastAsia" w:hAnsi="Calibri" w:cstheme="majorBidi"/>
          <w:szCs w:val="28"/>
        </w:rPr>
      </w:pPr>
      <w:r w:rsidRPr="00E76191">
        <w:rPr>
          <w:rFonts w:ascii="Calibri" w:eastAsiaTheme="majorEastAsia" w:hAnsi="Calibri" w:cstheme="majorBidi"/>
          <w:b/>
          <w:bCs/>
          <w:szCs w:val="28"/>
        </w:rPr>
        <w:t>Betydelig økonomisk disposisjon basert på vedtaket</w:t>
      </w:r>
      <w:r w:rsidRPr="00E76191">
        <w:rPr>
          <w:rFonts w:ascii="Calibri" w:eastAsiaTheme="majorEastAsia" w:hAnsi="Calibri" w:cstheme="majorBidi"/>
          <w:b/>
          <w:bCs/>
          <w:szCs w:val="28"/>
        </w:rPr>
        <w:br/>
      </w:r>
      <w:r w:rsidRPr="00E76191">
        <w:rPr>
          <w:rFonts w:ascii="Calibri" w:eastAsiaTheme="majorEastAsia" w:hAnsi="Calibri" w:cstheme="majorBidi"/>
          <w:szCs w:val="28"/>
        </w:rPr>
        <w:t xml:space="preserve">Eiendommen er overført fra søker (far) til ny eier (sønn) som </w:t>
      </w:r>
      <w:r w:rsidR="00F37A2C">
        <w:rPr>
          <w:rFonts w:ascii="Calibri" w:eastAsiaTheme="majorEastAsia" w:hAnsi="Calibri" w:cstheme="majorBidi"/>
          <w:szCs w:val="28"/>
        </w:rPr>
        <w:t xml:space="preserve">delvis </w:t>
      </w:r>
      <w:r w:rsidRPr="00E76191">
        <w:rPr>
          <w:rFonts w:ascii="Calibri" w:eastAsiaTheme="majorEastAsia" w:hAnsi="Calibri" w:cstheme="majorBidi"/>
          <w:szCs w:val="28"/>
        </w:rPr>
        <w:t>forskudd på arv</w:t>
      </w:r>
      <w:r w:rsidR="001E7FE5">
        <w:rPr>
          <w:rFonts w:ascii="Calibri" w:eastAsiaTheme="majorEastAsia" w:hAnsi="Calibri" w:cstheme="majorBidi"/>
          <w:szCs w:val="28"/>
        </w:rPr>
        <w:t xml:space="preserve"> (</w:t>
      </w:r>
      <w:r w:rsidR="00F37A2C">
        <w:rPr>
          <w:rFonts w:ascii="Calibri" w:eastAsiaTheme="majorEastAsia" w:hAnsi="Calibri" w:cstheme="majorBidi"/>
          <w:szCs w:val="28"/>
        </w:rPr>
        <w:t>etter som vi har fått opplyst om)</w:t>
      </w:r>
      <w:r w:rsidRPr="00E76191">
        <w:rPr>
          <w:rFonts w:ascii="Calibri" w:eastAsiaTheme="majorEastAsia" w:hAnsi="Calibri" w:cstheme="majorBidi"/>
          <w:szCs w:val="28"/>
        </w:rPr>
        <w:t>, og verdien er tinglyst til kr 3 000 000. Dette viser at vedtaket har hatt direkte rettsvirkning og skapt økonomiske disposisjoner. En sen lovlighetskontroll vil derfor ha vesentlige konsekvenser for tiltakshaver og forutberegneligheten i kommunens saksbehandling.</w:t>
      </w:r>
    </w:p>
    <w:p w14:paraId="7A613024" w14:textId="5ACDE66E" w:rsidR="00E76191" w:rsidRPr="00E76191" w:rsidRDefault="00E76191" w:rsidP="00E76191">
      <w:pPr>
        <w:rPr>
          <w:rFonts w:ascii="Calibri" w:eastAsiaTheme="majorEastAsia" w:hAnsi="Calibri" w:cstheme="majorBidi"/>
          <w:szCs w:val="28"/>
        </w:rPr>
      </w:pPr>
      <w:r w:rsidRPr="00E76191">
        <w:rPr>
          <w:rFonts w:ascii="Calibri" w:eastAsiaTheme="majorEastAsia" w:hAnsi="Calibri" w:cstheme="majorBidi"/>
          <w:b/>
          <w:bCs/>
          <w:szCs w:val="28"/>
        </w:rPr>
        <w:t>Om saksopplysning og begrunnelse i dispensasjonsvedtaket</w:t>
      </w:r>
      <w:r w:rsidRPr="00E76191">
        <w:rPr>
          <w:rFonts w:ascii="Calibri" w:eastAsiaTheme="majorEastAsia" w:hAnsi="Calibri" w:cstheme="majorBidi"/>
          <w:b/>
          <w:bCs/>
          <w:szCs w:val="28"/>
        </w:rPr>
        <w:br/>
      </w:r>
      <w:r w:rsidRPr="00E76191">
        <w:rPr>
          <w:rFonts w:ascii="Calibri" w:eastAsiaTheme="majorEastAsia" w:hAnsi="Calibri" w:cstheme="majorBidi"/>
          <w:szCs w:val="28"/>
        </w:rPr>
        <w:t xml:space="preserve">Utvalget viser til at kommunen i vedtaket 11.03.2025 vurderte vilkårene i </w:t>
      </w:r>
      <w:proofErr w:type="spellStart"/>
      <w:r w:rsidRPr="00E76191">
        <w:rPr>
          <w:rFonts w:ascii="Calibri" w:eastAsiaTheme="majorEastAsia" w:hAnsi="Calibri" w:cstheme="majorBidi"/>
          <w:szCs w:val="28"/>
        </w:rPr>
        <w:t>pbl</w:t>
      </w:r>
      <w:proofErr w:type="spellEnd"/>
      <w:r w:rsidRPr="00E76191">
        <w:rPr>
          <w:rFonts w:ascii="Calibri" w:eastAsiaTheme="majorEastAsia" w:hAnsi="Calibri" w:cstheme="majorBidi"/>
          <w:szCs w:val="28"/>
        </w:rPr>
        <w:t>. § 19</w:t>
      </w:r>
      <w:r w:rsidRPr="00E76191">
        <w:rPr>
          <w:rFonts w:ascii="Calibri" w:eastAsiaTheme="majorEastAsia" w:hAnsi="Calibri" w:cstheme="majorBidi"/>
          <w:szCs w:val="28"/>
        </w:rPr>
        <w:noBreakHyphen/>
        <w:t xml:space="preserve">2. Det er vurdert om hensynene bak plan og </w:t>
      </w:r>
      <w:proofErr w:type="spellStart"/>
      <w:r w:rsidRPr="00E76191">
        <w:rPr>
          <w:rFonts w:ascii="Calibri" w:eastAsiaTheme="majorEastAsia" w:hAnsi="Calibri" w:cstheme="majorBidi"/>
          <w:szCs w:val="28"/>
        </w:rPr>
        <w:t>pbl</w:t>
      </w:r>
      <w:proofErr w:type="spellEnd"/>
      <w:r w:rsidRPr="00E76191">
        <w:rPr>
          <w:rFonts w:ascii="Calibri" w:eastAsiaTheme="majorEastAsia" w:hAnsi="Calibri" w:cstheme="majorBidi"/>
          <w:szCs w:val="28"/>
        </w:rPr>
        <w:t>. § 1</w:t>
      </w:r>
      <w:r w:rsidRPr="00E76191">
        <w:rPr>
          <w:rFonts w:ascii="Calibri" w:eastAsiaTheme="majorEastAsia" w:hAnsi="Calibri" w:cstheme="majorBidi"/>
          <w:szCs w:val="28"/>
        </w:rPr>
        <w:noBreakHyphen/>
        <w:t>8 blir vesentlig tilsidesatt, og om fordelene ved dispensasjon er klart større enn ulempene, med særlig vekt på helse, miljø, sikkerhet, tilgjengelighet og nasjonale/regionale føringer, jf. gjeldende veiledning.</w:t>
      </w:r>
    </w:p>
    <w:p w14:paraId="7D80DB59" w14:textId="280E0119" w:rsidR="00E76191" w:rsidRPr="00E76191" w:rsidRDefault="00E76191" w:rsidP="00E76191">
      <w:pPr>
        <w:rPr>
          <w:rFonts w:ascii="Calibri" w:eastAsiaTheme="majorEastAsia" w:hAnsi="Calibri" w:cstheme="majorBidi"/>
          <w:szCs w:val="28"/>
        </w:rPr>
      </w:pPr>
      <w:r w:rsidRPr="00E76191">
        <w:rPr>
          <w:rFonts w:ascii="Calibri" w:eastAsiaTheme="majorEastAsia" w:hAnsi="Calibri" w:cstheme="majorBidi"/>
          <w:b/>
          <w:bCs/>
          <w:szCs w:val="28"/>
        </w:rPr>
        <w:br/>
      </w:r>
      <w:r w:rsidRPr="00E76191">
        <w:rPr>
          <w:rFonts w:ascii="Calibri" w:eastAsiaTheme="majorEastAsia" w:hAnsi="Calibri" w:cstheme="majorBidi"/>
          <w:szCs w:val="28"/>
        </w:rPr>
        <w:t xml:space="preserve">På bakgrunn av ovennevnte ber Farsund kommune om at varselet om lovlighetskontroll </w:t>
      </w:r>
      <w:r w:rsidRPr="00E76191">
        <w:rPr>
          <w:rFonts w:ascii="Calibri" w:eastAsiaTheme="majorEastAsia" w:hAnsi="Calibri" w:cstheme="majorBidi"/>
          <w:b/>
          <w:bCs/>
          <w:szCs w:val="28"/>
        </w:rPr>
        <w:t>henlegges</w:t>
      </w:r>
      <w:r w:rsidRPr="00E76191">
        <w:rPr>
          <w:rFonts w:ascii="Calibri" w:eastAsiaTheme="majorEastAsia" w:hAnsi="Calibri" w:cstheme="majorBidi"/>
          <w:szCs w:val="28"/>
        </w:rPr>
        <w:t xml:space="preserve">, eventuelt at det besluttes </w:t>
      </w:r>
      <w:r w:rsidRPr="00E76191">
        <w:rPr>
          <w:rFonts w:ascii="Calibri" w:eastAsiaTheme="majorEastAsia" w:hAnsi="Calibri" w:cstheme="majorBidi"/>
          <w:b/>
          <w:bCs/>
          <w:szCs w:val="28"/>
        </w:rPr>
        <w:t>ikke å åpne</w:t>
      </w:r>
      <w:r w:rsidRPr="00E76191">
        <w:rPr>
          <w:rFonts w:ascii="Calibri" w:eastAsiaTheme="majorEastAsia" w:hAnsi="Calibri" w:cstheme="majorBidi"/>
          <w:szCs w:val="28"/>
        </w:rPr>
        <w:t xml:space="preserve"> kontroll fordi det ikke foreligger «særlige grunner», særlig hensett til Statsforvalterens egen høringspraksis og de forventninger den skapte i saken. Subsidiært, dersom lovlighetskontroll åpnes, bes </w:t>
      </w:r>
      <w:r w:rsidR="00085A66">
        <w:rPr>
          <w:rFonts w:ascii="Calibri" w:eastAsiaTheme="majorEastAsia" w:hAnsi="Calibri" w:cstheme="majorBidi"/>
          <w:szCs w:val="28"/>
        </w:rPr>
        <w:t>det</w:t>
      </w:r>
      <w:r w:rsidRPr="00E76191">
        <w:rPr>
          <w:rFonts w:ascii="Calibri" w:eastAsiaTheme="majorEastAsia" w:hAnsi="Calibri" w:cstheme="majorBidi"/>
          <w:szCs w:val="28"/>
        </w:rPr>
        <w:t xml:space="preserve"> at forutberegnelighets- og innrettelseshensyn tillegges betydelig vekt ved den videre vurderingen.</w:t>
      </w:r>
    </w:p>
    <w:p w14:paraId="536BD25A" w14:textId="77777777" w:rsidR="00E76191" w:rsidRPr="00E76191" w:rsidRDefault="00E76191" w:rsidP="00E76191">
      <w:pPr>
        <w:rPr>
          <w:rFonts w:ascii="Calibri" w:eastAsiaTheme="majorEastAsia" w:hAnsi="Calibri" w:cstheme="majorBidi"/>
          <w:szCs w:val="28"/>
        </w:rPr>
      </w:pPr>
      <w:r w:rsidRPr="00E76191">
        <w:rPr>
          <w:rFonts w:ascii="Calibri" w:eastAsiaTheme="majorEastAsia" w:hAnsi="Calibri" w:cstheme="majorBidi"/>
          <w:b/>
          <w:bCs/>
          <w:szCs w:val="28"/>
        </w:rPr>
        <w:t> </w:t>
      </w:r>
    </w:p>
    <w:p w14:paraId="68FFA21D" w14:textId="77777777" w:rsidR="002C3777" w:rsidRDefault="00E76191" w:rsidP="00E76191">
      <w:pPr>
        <w:rPr>
          <w:rFonts w:ascii="Calibri" w:eastAsiaTheme="majorEastAsia" w:hAnsi="Calibri" w:cstheme="majorBidi"/>
          <w:b/>
          <w:bCs/>
          <w:szCs w:val="28"/>
        </w:rPr>
      </w:pPr>
      <w:r w:rsidRPr="00E76191">
        <w:rPr>
          <w:rFonts w:ascii="Calibri" w:eastAsiaTheme="majorEastAsia" w:hAnsi="Calibri" w:cstheme="majorBidi"/>
          <w:b/>
          <w:bCs/>
          <w:szCs w:val="28"/>
        </w:rPr>
        <w:t>Med hilsen</w:t>
      </w:r>
    </w:p>
    <w:p w14:paraId="080AE58F" w14:textId="77777777" w:rsidR="002C3777" w:rsidRDefault="002C3777" w:rsidP="00E76191">
      <w:pPr>
        <w:rPr>
          <w:rFonts w:ascii="Calibri" w:eastAsiaTheme="majorEastAsia" w:hAnsi="Calibri" w:cstheme="majorBidi"/>
          <w:b/>
          <w:bCs/>
          <w:szCs w:val="28"/>
        </w:rPr>
      </w:pPr>
    </w:p>
    <w:p w14:paraId="63F8B6FD" w14:textId="77777777" w:rsidR="002C3777" w:rsidRDefault="002C3777" w:rsidP="00E76191">
      <w:pPr>
        <w:rPr>
          <w:rFonts w:ascii="Calibri" w:eastAsiaTheme="majorEastAsia" w:hAnsi="Calibri" w:cstheme="majorBidi"/>
          <w:b/>
          <w:bCs/>
          <w:szCs w:val="28"/>
        </w:rPr>
      </w:pPr>
    </w:p>
    <w:p w14:paraId="3396D99E" w14:textId="23B0F747" w:rsidR="002C3777" w:rsidRDefault="002C3777" w:rsidP="00E76191">
      <w:pPr>
        <w:rPr>
          <w:rFonts w:ascii="Calibri" w:eastAsiaTheme="majorEastAsia" w:hAnsi="Calibri" w:cstheme="majorBidi"/>
          <w:b/>
          <w:bCs/>
          <w:szCs w:val="28"/>
        </w:rPr>
      </w:pPr>
      <w:r>
        <w:rPr>
          <w:rFonts w:ascii="Calibri" w:eastAsiaTheme="majorEastAsia" w:hAnsi="Calibri" w:cstheme="majorBidi"/>
          <w:b/>
          <w:bCs/>
          <w:szCs w:val="28"/>
        </w:rPr>
        <w:t>Alf Konradsen</w:t>
      </w:r>
    </w:p>
    <w:p w14:paraId="6535F60A" w14:textId="6D589725" w:rsidR="00D14BA4" w:rsidRDefault="002C3777" w:rsidP="00E76191">
      <w:pPr>
        <w:rPr>
          <w:rFonts w:ascii="Calibri" w:eastAsiaTheme="majorEastAsia" w:hAnsi="Calibri" w:cstheme="majorBidi"/>
          <w:szCs w:val="28"/>
        </w:rPr>
      </w:pPr>
      <w:r w:rsidRPr="002C3777">
        <w:rPr>
          <w:rFonts w:ascii="Calibri" w:eastAsiaTheme="majorEastAsia" w:hAnsi="Calibri" w:cstheme="majorBidi"/>
          <w:szCs w:val="28"/>
        </w:rPr>
        <w:t>Leder</w:t>
      </w:r>
      <w:r w:rsidR="00D14BA4">
        <w:rPr>
          <w:rFonts w:ascii="Calibri" w:eastAsiaTheme="majorEastAsia" w:hAnsi="Calibri" w:cstheme="majorBidi"/>
          <w:szCs w:val="28"/>
        </w:rPr>
        <w:t xml:space="preserve"> av u</w:t>
      </w:r>
      <w:r w:rsidR="00E76191" w:rsidRPr="00E76191">
        <w:rPr>
          <w:rFonts w:ascii="Calibri" w:eastAsiaTheme="majorEastAsia" w:hAnsi="Calibri" w:cstheme="majorBidi"/>
          <w:szCs w:val="28"/>
        </w:rPr>
        <w:t>tvalg for teknisk</w:t>
      </w:r>
    </w:p>
    <w:p w14:paraId="106279E6" w14:textId="7058F20D" w:rsidR="00F02361" w:rsidRPr="00C164AC" w:rsidRDefault="00E76191" w:rsidP="00F02361">
      <w:pPr>
        <w:rPr>
          <w:rFonts w:ascii="Calibri" w:eastAsiaTheme="majorEastAsia" w:hAnsi="Calibri" w:cstheme="majorBidi"/>
          <w:szCs w:val="28"/>
        </w:rPr>
      </w:pPr>
      <w:r w:rsidRPr="00E76191">
        <w:rPr>
          <w:rFonts w:ascii="Calibri" w:eastAsiaTheme="majorEastAsia" w:hAnsi="Calibri" w:cstheme="majorBidi"/>
          <w:szCs w:val="28"/>
        </w:rPr>
        <w:t>Farsund kommune</w:t>
      </w:r>
    </w:p>
    <w:sectPr w:rsidR="00F02361" w:rsidRPr="00C164AC" w:rsidSect="00F02361">
      <w:headerReference w:type="default" r:id="rId9"/>
      <w:footerReference w:type="default" r:id="rId10"/>
      <w:pgSz w:w="11906" w:h="16838"/>
      <w:pgMar w:top="1417" w:right="1417" w:bottom="1417"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240D" w14:textId="77777777" w:rsidR="00FD1E58" w:rsidRDefault="00FD1E58" w:rsidP="00FF05C6">
      <w:pPr>
        <w:spacing w:after="0" w:line="240" w:lineRule="auto"/>
      </w:pPr>
      <w:r>
        <w:separator/>
      </w:r>
    </w:p>
  </w:endnote>
  <w:endnote w:type="continuationSeparator" w:id="0">
    <w:p w14:paraId="14AB7D57" w14:textId="77777777" w:rsidR="00FD1E58" w:rsidRDefault="00FD1E58" w:rsidP="00FF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2E13" w14:textId="77777777" w:rsidR="00F02361" w:rsidRDefault="00F02361">
    <w:pPr>
      <w:pStyle w:val="Bunntekst"/>
    </w:pPr>
    <w:r>
      <w:rPr>
        <w:noProof/>
        <w:lang w:eastAsia="nb-NO"/>
      </w:rPr>
      <mc:AlternateContent>
        <mc:Choice Requires="wps">
          <w:drawing>
            <wp:anchor distT="0" distB="0" distL="114300" distR="114300" simplePos="0" relativeHeight="251665408" behindDoc="0" locked="0" layoutInCell="1" allowOverlap="1" wp14:anchorId="2EEC58BC" wp14:editId="3C14E9C2">
              <wp:simplePos x="0" y="0"/>
              <wp:positionH relativeFrom="column">
                <wp:posOffset>-350520</wp:posOffset>
              </wp:positionH>
              <wp:positionV relativeFrom="page">
                <wp:posOffset>9486900</wp:posOffset>
              </wp:positionV>
              <wp:extent cx="6502400" cy="0"/>
              <wp:effectExtent l="0" t="0" r="0" b="0"/>
              <wp:wrapNone/>
              <wp:docPr id="617713881" name="Rett linje 6177138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02400" cy="0"/>
                      </a:xfrm>
                      <a:prstGeom prst="line">
                        <a:avLst/>
                      </a:prstGeom>
                      <a:ln w="9525">
                        <a:solidFill>
                          <a:srgbClr val="205C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E6AB4" id="Rett linje 617713881"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page" from="-27.6pt,747pt" to="484.4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A2vgEAAN4DAAAOAAAAZHJzL2Uyb0RvYy54bWysU9uO0zAQfUfiHyy/06TRdgVR033oanlB&#10;sOLyAa4zbiz5Jo9p0r9n7LTpCpAQiBfH9sw5M+d4sn2YrGEniKi96/h6VXMGTvpeu2PHv319evOW&#10;M0zC9cJ4Bx0/A/KH3etX2zG00PjBmx4iIxKH7Rg6PqQU2qpCOYAVuPIBHAWVj1YkOsZj1UcxErs1&#10;VVPX99XoYx+il4BIt49zkO8Kv1Ig0yelEBIzHafeUlljWQ95rXZb0R6jCIOWlzbEP3RhhXZUdKF6&#10;FEmw71H/QmW1jB69SivpbeWV0hKKBlKzrn9S82UQAYoWMgfDYhP+P1r58bR3z5FsGAO2GJ5jVjGp&#10;aPOX+mNTMeu8mAVTYpIu7zd1c1eTp/Iaq27AEDG9B29Z3nTcaJd1iFacPmCiYpR6TcnXxrGx4+82&#10;zaZkoTe6f9LG5BjG42FvIjsJesKm3uzvyqsRw4s0OhlHtDcRZZfOBmb+z6CY7qnt9VwhzxcstEJK&#10;cGmdp6EwUXaGKWphAdZ/Bl7yMxTK7P0NeEGUyt6lBWy18/F31dN0bVnN+VcHZt3ZgoPvz+V5izU0&#10;REXhZeDzlL48F/jtt9z9AAAA//8DAFBLAwQUAAYACAAAACEAgI4M3N4AAAANAQAADwAAAGRycy9k&#10;b3ducmV2LnhtbEyPwU7DMBBE70j8g7VI3FonaVq1IU6FIiHEBYnAgaMbL3FEvI5itwl/z3JAcNyZ&#10;p9mZ8ri4QVxwCr0nBek6AYHUetNTp+Dt9WG1BxGiJqMHT6jgCwMcq+urUhfGz/SClyZ2gkMoFFqB&#10;jXEspAytRafD2o9I7H34yenI59RJM+mZw90gsyTZSad74g9Wj1hbbD+bs1MwPub1e5o+1X3W+MnO&#10;6SY8241StzfL/R2IiEv8g+GnPleHijud/JlMEIOC1XabMcpGfsh5FSOH3Z7XnH4lWZXy/4rqGwAA&#10;//8DAFBLAQItABQABgAIAAAAIQC2gziS/gAAAOEBAAATAAAAAAAAAAAAAAAAAAAAAABbQ29udGVu&#10;dF9UeXBlc10ueG1sUEsBAi0AFAAGAAgAAAAhADj9If/WAAAAlAEAAAsAAAAAAAAAAAAAAAAALwEA&#10;AF9yZWxzLy5yZWxzUEsBAi0AFAAGAAgAAAAhAHCWQDa+AQAA3gMAAA4AAAAAAAAAAAAAAAAALgIA&#10;AGRycy9lMm9Eb2MueG1sUEsBAi0AFAAGAAgAAAAhAICODNzeAAAADQEAAA8AAAAAAAAAAAAAAAAA&#10;GAQAAGRycy9kb3ducmV2LnhtbFBLBQYAAAAABAAEAPMAAAAjBQAAAAA=&#10;" strokecolor="#205c40">
              <v:stroke joinstyle="miter"/>
              <w10:wrap anchory="page"/>
            </v:line>
          </w:pict>
        </mc:Fallback>
      </mc:AlternateContent>
    </w:r>
  </w:p>
  <w:tbl>
    <w:tblPr>
      <w:tblStyle w:val="Tabellrutenett"/>
      <w:tblW w:w="10349" w:type="dxa"/>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2791"/>
      <w:gridCol w:w="5177"/>
    </w:tblGrid>
    <w:tr w:rsidR="00F02361" w:rsidRPr="005967E6" w14:paraId="3AD5E444" w14:textId="77777777" w:rsidTr="00024BE6">
      <w:trPr>
        <w:trHeight w:val="989"/>
      </w:trPr>
      <w:tc>
        <w:tcPr>
          <w:tcW w:w="2381" w:type="dxa"/>
        </w:tcPr>
        <w:p w14:paraId="67464812" w14:textId="77777777" w:rsidR="00F02361" w:rsidRPr="00F02361" w:rsidRDefault="00F02361" w:rsidP="00F02361">
          <w:pPr>
            <w:pStyle w:val="Bunntekst"/>
            <w:tabs>
              <w:tab w:val="clear" w:pos="4536"/>
            </w:tabs>
            <w:spacing w:line="276" w:lineRule="auto"/>
            <w:rPr>
              <w:b/>
              <w:color w:val="205C40"/>
              <w:sz w:val="18"/>
              <w:szCs w:val="18"/>
            </w:rPr>
          </w:pPr>
          <w:r w:rsidRPr="00F02361">
            <w:rPr>
              <w:b/>
              <w:color w:val="205C40"/>
              <w:sz w:val="18"/>
              <w:szCs w:val="18"/>
            </w:rPr>
            <w:t>Farsund kommune</w:t>
          </w:r>
        </w:p>
        <w:p w14:paraId="0E47CB16" w14:textId="77777777" w:rsidR="00F02361" w:rsidRPr="001C38D0" w:rsidRDefault="00F02361" w:rsidP="00F02361">
          <w:pPr>
            <w:pStyle w:val="Bunntekst"/>
            <w:tabs>
              <w:tab w:val="clear" w:pos="4536"/>
            </w:tabs>
            <w:spacing w:line="276" w:lineRule="auto"/>
            <w:rPr>
              <w:sz w:val="18"/>
              <w:szCs w:val="18"/>
            </w:rPr>
          </w:pPr>
          <w:r>
            <w:rPr>
              <w:sz w:val="18"/>
              <w:szCs w:val="18"/>
            </w:rPr>
            <w:t>Postboks 100</w:t>
          </w:r>
        </w:p>
        <w:p w14:paraId="7346B7B9" w14:textId="77777777" w:rsidR="00F02361" w:rsidRDefault="00F02361" w:rsidP="00F02361">
          <w:pPr>
            <w:pStyle w:val="Bunntekst"/>
            <w:tabs>
              <w:tab w:val="clear" w:pos="4536"/>
            </w:tabs>
            <w:spacing w:line="276" w:lineRule="auto"/>
          </w:pPr>
          <w:r>
            <w:rPr>
              <w:sz w:val="18"/>
              <w:szCs w:val="18"/>
            </w:rPr>
            <w:t>4552</w:t>
          </w:r>
          <w:r w:rsidRPr="001C38D0">
            <w:rPr>
              <w:sz w:val="18"/>
              <w:szCs w:val="18"/>
            </w:rPr>
            <w:t xml:space="preserve"> </w:t>
          </w:r>
          <w:r>
            <w:rPr>
              <w:sz w:val="18"/>
              <w:szCs w:val="18"/>
            </w:rPr>
            <w:t>Farsund</w:t>
          </w:r>
        </w:p>
      </w:tc>
      <w:tc>
        <w:tcPr>
          <w:tcW w:w="2791" w:type="dxa"/>
        </w:tcPr>
        <w:p w14:paraId="7B031EE7" w14:textId="77777777" w:rsidR="00F02361" w:rsidRPr="006B3FB8" w:rsidRDefault="00F02361" w:rsidP="00F02361">
          <w:pPr>
            <w:pStyle w:val="Bunntekst"/>
            <w:tabs>
              <w:tab w:val="clear" w:pos="4536"/>
            </w:tabs>
            <w:spacing w:line="276" w:lineRule="auto"/>
            <w:rPr>
              <w:sz w:val="18"/>
              <w:szCs w:val="18"/>
              <w:lang w:val="de-DE"/>
            </w:rPr>
          </w:pPr>
          <w:r w:rsidRPr="00F02361">
            <w:rPr>
              <w:b/>
              <w:color w:val="205C40"/>
              <w:sz w:val="18"/>
              <w:szCs w:val="18"/>
              <w:lang w:val="de-DE"/>
            </w:rPr>
            <w:t xml:space="preserve">T: </w:t>
          </w:r>
          <w:r w:rsidRPr="006B3FB8">
            <w:rPr>
              <w:sz w:val="18"/>
              <w:szCs w:val="18"/>
              <w:lang w:val="de-DE"/>
            </w:rPr>
            <w:t xml:space="preserve">+47 </w:t>
          </w:r>
          <w:r>
            <w:rPr>
              <w:sz w:val="18"/>
              <w:szCs w:val="18"/>
              <w:lang w:val="de-DE"/>
            </w:rPr>
            <w:t>38 38 20 00</w:t>
          </w:r>
        </w:p>
        <w:p w14:paraId="41C576EF" w14:textId="77777777" w:rsidR="00F02361" w:rsidRDefault="00F02361" w:rsidP="00F02361">
          <w:pPr>
            <w:pStyle w:val="Bunntekst"/>
            <w:tabs>
              <w:tab w:val="clear" w:pos="4536"/>
            </w:tabs>
            <w:spacing w:line="276" w:lineRule="auto"/>
            <w:rPr>
              <w:sz w:val="18"/>
              <w:szCs w:val="18"/>
              <w:lang w:val="de-DE"/>
            </w:rPr>
          </w:pPr>
          <w:r w:rsidRPr="00F02361">
            <w:rPr>
              <w:b/>
              <w:color w:val="205C40"/>
              <w:sz w:val="18"/>
              <w:szCs w:val="18"/>
              <w:lang w:val="de-DE"/>
            </w:rPr>
            <w:t xml:space="preserve">E: </w:t>
          </w:r>
          <w:hyperlink r:id="rId1" w:history="1">
            <w:r w:rsidRPr="00501AF9">
              <w:rPr>
                <w:rStyle w:val="Hyperkobling"/>
                <w:sz w:val="18"/>
                <w:szCs w:val="18"/>
                <w:lang w:val="de-DE"/>
              </w:rPr>
              <w:t>post@farsund.kommune.no</w:t>
            </w:r>
          </w:hyperlink>
          <w:r>
            <w:rPr>
              <w:sz w:val="18"/>
              <w:szCs w:val="18"/>
              <w:lang w:val="de-DE"/>
            </w:rPr>
            <w:t xml:space="preserve"> </w:t>
          </w:r>
        </w:p>
        <w:p w14:paraId="4F7081C5" w14:textId="77777777" w:rsidR="00024BE6" w:rsidRPr="00024BE6" w:rsidRDefault="00024BE6" w:rsidP="00F02361">
          <w:pPr>
            <w:pStyle w:val="Bunntekst"/>
            <w:tabs>
              <w:tab w:val="clear" w:pos="4536"/>
            </w:tabs>
            <w:spacing w:line="276" w:lineRule="auto"/>
            <w:rPr>
              <w:b/>
              <w:color w:val="205C40"/>
              <w:sz w:val="18"/>
              <w:szCs w:val="18"/>
              <w:lang w:val="de-DE"/>
            </w:rPr>
          </w:pPr>
          <w:r w:rsidRPr="00024BE6">
            <w:rPr>
              <w:b/>
              <w:color w:val="205C40"/>
              <w:sz w:val="18"/>
              <w:szCs w:val="18"/>
              <w:lang w:val="de-DE"/>
            </w:rPr>
            <w:t>N:</w:t>
          </w:r>
          <w:r>
            <w:rPr>
              <w:b/>
              <w:color w:val="205C40"/>
              <w:sz w:val="18"/>
              <w:szCs w:val="18"/>
              <w:lang w:val="de-DE"/>
            </w:rPr>
            <w:t xml:space="preserve"> </w:t>
          </w:r>
          <w:hyperlink r:id="rId2" w:history="1">
            <w:r w:rsidRPr="00024BE6">
              <w:rPr>
                <w:rStyle w:val="Hyperkobling"/>
                <w:bCs/>
                <w:sz w:val="18"/>
                <w:szCs w:val="18"/>
                <w:lang w:val="de-DE"/>
              </w:rPr>
              <w:t>www.farsund.kommune.no</w:t>
            </w:r>
          </w:hyperlink>
          <w:r>
            <w:rPr>
              <w:b/>
              <w:color w:val="205C40"/>
              <w:sz w:val="18"/>
              <w:szCs w:val="18"/>
              <w:lang w:val="de-DE"/>
            </w:rPr>
            <w:t xml:space="preserve"> </w:t>
          </w:r>
        </w:p>
        <w:p w14:paraId="2A2F3F54" w14:textId="77777777" w:rsidR="00F02361" w:rsidRPr="006B3FB8" w:rsidRDefault="00F02361" w:rsidP="00F02361">
          <w:pPr>
            <w:pStyle w:val="Bunntekst"/>
            <w:tabs>
              <w:tab w:val="clear" w:pos="4536"/>
            </w:tabs>
            <w:spacing w:line="276" w:lineRule="auto"/>
            <w:rPr>
              <w:b/>
              <w:lang w:val="de-DE"/>
            </w:rPr>
          </w:pPr>
          <w:r w:rsidRPr="006B3FB8">
            <w:rPr>
              <w:b/>
              <w:color w:val="0070C0"/>
              <w:lang w:val="de-DE"/>
            </w:rPr>
            <w:br/>
          </w:r>
        </w:p>
      </w:tc>
      <w:tc>
        <w:tcPr>
          <w:tcW w:w="5177" w:type="dxa"/>
        </w:tcPr>
        <w:p w14:paraId="719D4E68" w14:textId="77777777" w:rsidR="00F02361" w:rsidRPr="006B3FB8" w:rsidRDefault="00F02361" w:rsidP="00F02361">
          <w:pPr>
            <w:pStyle w:val="Bunntekst"/>
            <w:tabs>
              <w:tab w:val="clear" w:pos="4536"/>
            </w:tabs>
            <w:rPr>
              <w:lang w:val="de-DE"/>
            </w:rPr>
          </w:pPr>
        </w:p>
      </w:tc>
    </w:tr>
  </w:tbl>
  <w:p w14:paraId="3AA2E18A" w14:textId="77777777" w:rsidR="008C0D53" w:rsidRDefault="008C0D5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BB89" w14:textId="77777777" w:rsidR="00FD1E58" w:rsidRDefault="00FD1E58" w:rsidP="00FF05C6">
      <w:pPr>
        <w:spacing w:after="0" w:line="240" w:lineRule="auto"/>
      </w:pPr>
      <w:r>
        <w:separator/>
      </w:r>
    </w:p>
  </w:footnote>
  <w:footnote w:type="continuationSeparator" w:id="0">
    <w:p w14:paraId="38CB87B8" w14:textId="77777777" w:rsidR="00FD1E58" w:rsidRDefault="00FD1E58" w:rsidP="00FF0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0F2C" w14:textId="77777777" w:rsidR="00FF05C6" w:rsidRDefault="00FF05C6" w:rsidP="00FF05C6">
    <w:pPr>
      <w:pStyle w:val="Topptekst"/>
    </w:pPr>
    <w:r>
      <w:rPr>
        <w:noProof/>
      </w:rPr>
      <w:drawing>
        <wp:anchor distT="0" distB="0" distL="114300" distR="114300" simplePos="0" relativeHeight="251659264" behindDoc="0" locked="0" layoutInCell="1" allowOverlap="1" wp14:anchorId="2DB5B46D" wp14:editId="2ED791F1">
          <wp:simplePos x="0" y="0"/>
          <wp:positionH relativeFrom="column">
            <wp:posOffset>-19050</wp:posOffset>
          </wp:positionH>
          <wp:positionV relativeFrom="paragraph">
            <wp:posOffset>-88900</wp:posOffset>
          </wp:positionV>
          <wp:extent cx="1367790" cy="556260"/>
          <wp:effectExtent l="0" t="0" r="3810" b="0"/>
          <wp:wrapTight wrapText="bothSides">
            <wp:wrapPolygon edited="0">
              <wp:start x="0" y="0"/>
              <wp:lineTo x="0" y="17014"/>
              <wp:lineTo x="1504" y="20712"/>
              <wp:lineTo x="5415" y="20712"/>
              <wp:lineTo x="21359" y="15534"/>
              <wp:lineTo x="21359" y="5918"/>
              <wp:lineTo x="18953" y="3699"/>
              <wp:lineTo x="7822" y="0"/>
              <wp:lineTo x="0" y="0"/>
            </wp:wrapPolygon>
          </wp:wrapTight>
          <wp:docPr id="436601898" name="Bilde 3" descr="Vertikal logo Farsund kommune. Kommunevåpen med de 4 trær i grønt med gul bakgrun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01898" name="Bilde 3" descr="Vertikal logo Farsund kommune. Kommunevåpen med de 4 trær i grønt med gul bakgrunn. ">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0E0112" w14:textId="77777777" w:rsidR="00FF05C6" w:rsidRDefault="00FF05C6">
    <w:pPr>
      <w:pStyle w:val="Topptekst"/>
    </w:pPr>
  </w:p>
  <w:p w14:paraId="444BF392" w14:textId="77777777" w:rsidR="00FF05C6" w:rsidRDefault="00FF05C6">
    <w:pPr>
      <w:pStyle w:val="Topptekst"/>
    </w:pPr>
  </w:p>
  <w:p w14:paraId="30CBEE53" w14:textId="77777777" w:rsidR="00FF05C6" w:rsidRDefault="003108AF">
    <w:pPr>
      <w:pStyle w:val="Topptekst"/>
    </w:pPr>
    <w:r>
      <w:rPr>
        <w:noProof/>
        <w:lang w:eastAsia="nb-NO"/>
      </w:rPr>
      <mc:AlternateContent>
        <mc:Choice Requires="wps">
          <w:drawing>
            <wp:anchor distT="0" distB="0" distL="114300" distR="114300" simplePos="0" relativeHeight="251661312" behindDoc="0" locked="0" layoutInCell="1" allowOverlap="1" wp14:anchorId="1F0683F3" wp14:editId="5800B9FF">
              <wp:simplePos x="0" y="0"/>
              <wp:positionH relativeFrom="column">
                <wp:posOffset>-354330</wp:posOffset>
              </wp:positionH>
              <wp:positionV relativeFrom="page">
                <wp:posOffset>1069975</wp:posOffset>
              </wp:positionV>
              <wp:extent cx="6502400"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02400" cy="0"/>
                      </a:xfrm>
                      <a:prstGeom prst="line">
                        <a:avLst/>
                      </a:prstGeom>
                      <a:ln w="9525">
                        <a:solidFill>
                          <a:srgbClr val="205C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D2056" id="Rett linje 4"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page" from="-27.9pt,84.25pt" to="484.1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A2vgEAAN4DAAAOAAAAZHJzL2Uyb0RvYy54bWysU9uO0zAQfUfiHyy/06TRdgVR033oanlB&#10;sOLyAa4zbiz5Jo9p0r9n7LTpCpAQiBfH9sw5M+d4sn2YrGEniKi96/h6VXMGTvpeu2PHv319evOW&#10;M0zC9cJ4Bx0/A/KH3etX2zG00PjBmx4iIxKH7Rg6PqQU2qpCOYAVuPIBHAWVj1YkOsZj1UcxErs1&#10;VVPX99XoYx+il4BIt49zkO8Kv1Ig0yelEBIzHafeUlljWQ95rXZb0R6jCIOWlzbEP3RhhXZUdKF6&#10;FEmw71H/QmW1jB69SivpbeWV0hKKBlKzrn9S82UQAYoWMgfDYhP+P1r58bR3z5FsGAO2GJ5jVjGp&#10;aPOX+mNTMeu8mAVTYpIu7zd1c1eTp/Iaq27AEDG9B29Z3nTcaJd1iFacPmCiYpR6TcnXxrGx4+82&#10;zaZkoTe6f9LG5BjG42FvIjsJesKm3uzvyqsRw4s0OhlHtDcRZZfOBmb+z6CY7qnt9VwhzxcstEJK&#10;cGmdp6EwUXaGKWphAdZ/Bl7yMxTK7P0NeEGUyt6lBWy18/F31dN0bVnN+VcHZt3ZgoPvz+V5izU0&#10;REXhZeDzlL48F/jtt9z9AAAA//8DAFBLAwQUAAYACAAAACEAVEKosd4AAAALAQAADwAAAGRycy9k&#10;b3ducmV2LnhtbEyPQUvEMBCF74L/IYzgbTdt15Zamy5SEPEiWD14zDZjU2ySkmS33X+/Iwh6fPMe&#10;731T71czsRP6MDorIN0mwND2To12EPDx/rQpgYUorZKTsyjgjAH2zfVVLSvlFvuGpy4OjEpsqKQA&#10;HeNccR56jUaGrZvRkvflvJGRpB+48nKhcjPxLEkKbuRoaUHLGVuN/Xd3NALm57v2M01f2jHrnNdL&#10;uguveifE7c36+AAs4hr/wvCDT+jQENPBHa0KbBKwyXNCj2QUZQ6MEvdFmQE7/F54U/P/PzQXAAAA&#10;//8DAFBLAQItABQABgAIAAAAIQC2gziS/gAAAOEBAAATAAAAAAAAAAAAAAAAAAAAAABbQ29udGVu&#10;dF9UeXBlc10ueG1sUEsBAi0AFAAGAAgAAAAhADj9If/WAAAAlAEAAAsAAAAAAAAAAAAAAAAALwEA&#10;AF9yZWxzLy5yZWxzUEsBAi0AFAAGAAgAAAAhAHCWQDa+AQAA3gMAAA4AAAAAAAAAAAAAAAAALgIA&#10;AGRycy9lMm9Eb2MueG1sUEsBAi0AFAAGAAgAAAAhAFRCqLHeAAAACwEAAA8AAAAAAAAAAAAAAAAA&#10;GAQAAGRycy9kb3ducmV2LnhtbFBLBQYAAAAABAAEAPMAAAAjBQAAAAA=&#10;" strokecolor="#205c40">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10"/>
    <w:rsid w:val="00024BE6"/>
    <w:rsid w:val="00052AF4"/>
    <w:rsid w:val="000766BC"/>
    <w:rsid w:val="00085A66"/>
    <w:rsid w:val="000D130D"/>
    <w:rsid w:val="001E7FE5"/>
    <w:rsid w:val="002034CE"/>
    <w:rsid w:val="002A1F54"/>
    <w:rsid w:val="002C3777"/>
    <w:rsid w:val="003108AF"/>
    <w:rsid w:val="003912B0"/>
    <w:rsid w:val="003C313B"/>
    <w:rsid w:val="003E0C31"/>
    <w:rsid w:val="003F7592"/>
    <w:rsid w:val="004213D6"/>
    <w:rsid w:val="00462DBE"/>
    <w:rsid w:val="00470DF1"/>
    <w:rsid w:val="004728B8"/>
    <w:rsid w:val="0049189D"/>
    <w:rsid w:val="004926D4"/>
    <w:rsid w:val="004C514E"/>
    <w:rsid w:val="00573116"/>
    <w:rsid w:val="005C3BD9"/>
    <w:rsid w:val="005E6E18"/>
    <w:rsid w:val="006D3C26"/>
    <w:rsid w:val="00737486"/>
    <w:rsid w:val="0076769F"/>
    <w:rsid w:val="00804F4E"/>
    <w:rsid w:val="00816F10"/>
    <w:rsid w:val="00876844"/>
    <w:rsid w:val="00880002"/>
    <w:rsid w:val="008B2936"/>
    <w:rsid w:val="008C0D53"/>
    <w:rsid w:val="008E0E3F"/>
    <w:rsid w:val="009621E6"/>
    <w:rsid w:val="00AE4B9D"/>
    <w:rsid w:val="00B15D58"/>
    <w:rsid w:val="00B56F8F"/>
    <w:rsid w:val="00BE2117"/>
    <w:rsid w:val="00C164AC"/>
    <w:rsid w:val="00C25A51"/>
    <w:rsid w:val="00D14BA4"/>
    <w:rsid w:val="00DD7560"/>
    <w:rsid w:val="00E709B5"/>
    <w:rsid w:val="00E76191"/>
    <w:rsid w:val="00E801CE"/>
    <w:rsid w:val="00EA34C0"/>
    <w:rsid w:val="00F02361"/>
    <w:rsid w:val="00F153F4"/>
    <w:rsid w:val="00F21F91"/>
    <w:rsid w:val="00F37A2C"/>
    <w:rsid w:val="00F77126"/>
    <w:rsid w:val="00FD1E58"/>
    <w:rsid w:val="00FD7880"/>
    <w:rsid w:val="00FF05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C6B19"/>
  <w15:chartTrackingRefBased/>
  <w15:docId w15:val="{D52B6078-9475-4DE6-9696-49919C41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24BE6"/>
    <w:pPr>
      <w:keepNext/>
      <w:keepLines/>
      <w:spacing w:before="360" w:after="80"/>
      <w:outlineLvl w:val="0"/>
    </w:pPr>
    <w:rPr>
      <w:rFonts w:ascii="Calibri" w:eastAsiaTheme="majorEastAsia" w:hAnsi="Calibri" w:cstheme="majorBidi"/>
      <w:sz w:val="32"/>
      <w:szCs w:val="40"/>
    </w:rPr>
  </w:style>
  <w:style w:type="paragraph" w:styleId="Overskrift2">
    <w:name w:val="heading 2"/>
    <w:basedOn w:val="Normal"/>
    <w:next w:val="Normal"/>
    <w:link w:val="Overskrift2Tegn"/>
    <w:uiPriority w:val="9"/>
    <w:semiHidden/>
    <w:unhideWhenUsed/>
    <w:qFormat/>
    <w:rsid w:val="00FF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F05C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F05C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F05C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F05C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F05C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F05C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F05C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24BE6"/>
    <w:rPr>
      <w:rFonts w:ascii="Calibri" w:eastAsiaTheme="majorEastAsia" w:hAnsi="Calibri" w:cstheme="majorBidi"/>
      <w:sz w:val="32"/>
      <w:szCs w:val="40"/>
    </w:rPr>
  </w:style>
  <w:style w:type="character" w:customStyle="1" w:styleId="Overskrift2Tegn">
    <w:name w:val="Overskrift 2 Tegn"/>
    <w:basedOn w:val="Standardskriftforavsnitt"/>
    <w:link w:val="Overskrift2"/>
    <w:uiPriority w:val="9"/>
    <w:semiHidden/>
    <w:rsid w:val="00FF05C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F05C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F05C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F05C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F05C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F05C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F05C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F05C6"/>
    <w:rPr>
      <w:rFonts w:eastAsiaTheme="majorEastAsia" w:cstheme="majorBidi"/>
      <w:color w:val="272727" w:themeColor="text1" w:themeTint="D8"/>
    </w:rPr>
  </w:style>
  <w:style w:type="paragraph" w:styleId="Tittel">
    <w:name w:val="Title"/>
    <w:basedOn w:val="Normal"/>
    <w:next w:val="Normal"/>
    <w:link w:val="TittelTegn"/>
    <w:uiPriority w:val="10"/>
    <w:qFormat/>
    <w:rsid w:val="00FF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F05C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F05C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F05C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F05C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F05C6"/>
    <w:rPr>
      <w:i/>
      <w:iCs/>
      <w:color w:val="404040" w:themeColor="text1" w:themeTint="BF"/>
    </w:rPr>
  </w:style>
  <w:style w:type="paragraph" w:styleId="Listeavsnitt">
    <w:name w:val="List Paragraph"/>
    <w:basedOn w:val="Normal"/>
    <w:uiPriority w:val="34"/>
    <w:qFormat/>
    <w:rsid w:val="00FF05C6"/>
    <w:pPr>
      <w:ind w:left="720"/>
      <w:contextualSpacing/>
    </w:pPr>
  </w:style>
  <w:style w:type="character" w:styleId="Sterkutheving">
    <w:name w:val="Intense Emphasis"/>
    <w:basedOn w:val="Standardskriftforavsnitt"/>
    <w:uiPriority w:val="21"/>
    <w:qFormat/>
    <w:rsid w:val="00FF05C6"/>
    <w:rPr>
      <w:i/>
      <w:iCs/>
      <w:color w:val="0F4761" w:themeColor="accent1" w:themeShade="BF"/>
    </w:rPr>
  </w:style>
  <w:style w:type="paragraph" w:styleId="Sterktsitat">
    <w:name w:val="Intense Quote"/>
    <w:basedOn w:val="Normal"/>
    <w:next w:val="Normal"/>
    <w:link w:val="SterktsitatTegn"/>
    <w:uiPriority w:val="30"/>
    <w:qFormat/>
    <w:rsid w:val="00FF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F05C6"/>
    <w:rPr>
      <w:i/>
      <w:iCs/>
      <w:color w:val="0F4761" w:themeColor="accent1" w:themeShade="BF"/>
    </w:rPr>
  </w:style>
  <w:style w:type="character" w:styleId="Sterkreferanse">
    <w:name w:val="Intense Reference"/>
    <w:basedOn w:val="Standardskriftforavsnitt"/>
    <w:uiPriority w:val="32"/>
    <w:qFormat/>
    <w:rsid w:val="00FF05C6"/>
    <w:rPr>
      <w:b/>
      <w:bCs/>
      <w:smallCaps/>
      <w:color w:val="0F4761" w:themeColor="accent1" w:themeShade="BF"/>
      <w:spacing w:val="5"/>
    </w:rPr>
  </w:style>
  <w:style w:type="paragraph" w:styleId="Topptekst">
    <w:name w:val="header"/>
    <w:basedOn w:val="Normal"/>
    <w:link w:val="TopptekstTegn"/>
    <w:uiPriority w:val="99"/>
    <w:unhideWhenUsed/>
    <w:rsid w:val="00FF05C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F05C6"/>
  </w:style>
  <w:style w:type="paragraph" w:styleId="Bunntekst">
    <w:name w:val="footer"/>
    <w:basedOn w:val="Normal"/>
    <w:link w:val="BunntekstTegn"/>
    <w:uiPriority w:val="99"/>
    <w:unhideWhenUsed/>
    <w:rsid w:val="00FF05C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F05C6"/>
  </w:style>
  <w:style w:type="table" w:styleId="Tabellrutenett">
    <w:name w:val="Table Grid"/>
    <w:basedOn w:val="Vanligtabell"/>
    <w:uiPriority w:val="39"/>
    <w:rsid w:val="008C0D53"/>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8C0D53"/>
    <w:rPr>
      <w:color w:val="467886" w:themeColor="hyperlink"/>
      <w:u w:val="single"/>
    </w:rPr>
  </w:style>
  <w:style w:type="character" w:styleId="Ulstomtale">
    <w:name w:val="Unresolved Mention"/>
    <w:basedOn w:val="Standardskriftforavsnitt"/>
    <w:uiPriority w:val="99"/>
    <w:semiHidden/>
    <w:unhideWhenUsed/>
    <w:rsid w:val="008C0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arsund.kommune.no" TargetMode="External"/><Relationship Id="rId1" Type="http://schemas.openxmlformats.org/officeDocument/2006/relationships/hyperlink" Target="mailto:post@farsund.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E2B041BBEBC649A26DA7C1028EF36B" ma:contentTypeVersion="18" ma:contentTypeDescription="Opprett et nytt dokument." ma:contentTypeScope="" ma:versionID="8a5a224c37614e0df9f2eebfbe3be2bf">
  <xsd:schema xmlns:xsd="http://www.w3.org/2001/XMLSchema" xmlns:xs="http://www.w3.org/2001/XMLSchema" xmlns:p="http://schemas.microsoft.com/office/2006/metadata/properties" xmlns:ns2="79a27972-4245-4253-ab30-68431768f287" xmlns:ns3="1cd2cfa0-1049-4d20-82e1-6275c2a46ac9" targetNamespace="http://schemas.microsoft.com/office/2006/metadata/properties" ma:root="true" ma:fieldsID="cc4df53589a1d9ecf5bcf661fb057cec" ns2:_="" ns3:_="">
    <xsd:import namespace="79a27972-4245-4253-ab30-68431768f287"/>
    <xsd:import namespace="1cd2cfa0-1049-4d20-82e1-6275c2a46a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Test"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27972-4245-4253-ab30-68431768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Test" ma:index="17" nillable="true" ma:displayName="Kommentar" ma:description="Husk å laste ned" ma:format="Dropdown" ma:internalName="Test">
      <xsd:simpleType>
        <xsd:restriction base="dms:Text">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d2cfa0-1049-4d20-82e1-6275c2a46a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2ecd80-823a-4cc4-9306-9db9e89b9e0b}" ma:internalName="TaxCatchAll" ma:showField="CatchAllData" ma:web="1cd2cfa0-1049-4d20-82e1-6275c2a46ac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79a27972-4245-4253-ab30-68431768f287" xsi:nil="true"/>
    <lcf76f155ced4ddcb4097134ff3c332f xmlns="79a27972-4245-4253-ab30-68431768f287">
      <Terms xmlns="http://schemas.microsoft.com/office/infopath/2007/PartnerControls"/>
    </lcf76f155ced4ddcb4097134ff3c332f>
    <TaxCatchAll xmlns="1cd2cfa0-1049-4d20-82e1-6275c2a46ac9" xsi:nil="true"/>
  </documentManagement>
</p:properties>
</file>

<file path=customXml/itemProps1.xml><?xml version="1.0" encoding="utf-8"?>
<ds:datastoreItem xmlns:ds="http://schemas.openxmlformats.org/officeDocument/2006/customXml" ds:itemID="{525D6583-A4C7-4854-95DC-A8BEA9031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27972-4245-4253-ab30-68431768f287"/>
    <ds:schemaRef ds:uri="1cd2cfa0-1049-4d20-82e1-6275c2a46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BC7D0-C3F5-4B7B-A1A1-527B4F4FF870}">
  <ds:schemaRefs>
    <ds:schemaRef ds:uri="http://schemas.microsoft.com/sharepoint/v3/contenttype/forms"/>
  </ds:schemaRefs>
</ds:datastoreItem>
</file>

<file path=customXml/itemProps3.xml><?xml version="1.0" encoding="utf-8"?>
<ds:datastoreItem xmlns:ds="http://schemas.openxmlformats.org/officeDocument/2006/customXml" ds:itemID="{8A1CB780-B891-4EC7-A645-033A48E07745}">
  <ds:schemaRefs>
    <ds:schemaRef ds:uri="http://schemas.microsoft.com/office/2006/metadata/properties"/>
    <ds:schemaRef ds:uri="http://schemas.microsoft.com/office/infopath/2007/PartnerControls"/>
    <ds:schemaRef ds:uri="79a27972-4245-4253-ab30-68431768f287"/>
    <ds:schemaRef ds:uri="1cd2cfa0-1049-4d20-82e1-6275c2a46ac9"/>
  </ds:schemaRefs>
</ds:datastoreItem>
</file>

<file path=docMetadata/LabelInfo.xml><?xml version="1.0" encoding="utf-8"?>
<clbl:labelList xmlns:clbl="http://schemas.microsoft.com/office/2020/mipLabelMetadata">
  <clbl:label id="{3ef5735a-e1da-40c4-b475-8683f5604e1d}" enabled="0" method="" siteId="{3ef5735a-e1da-40c4-b475-8683f5604e1d}"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583</Words>
  <Characters>3090</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Det Digitale Vestre Agder DDV</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Quale</dc:creator>
  <cp:keywords/>
  <dc:description/>
  <cp:lastModifiedBy>Roy Quale</cp:lastModifiedBy>
  <cp:revision>3</cp:revision>
  <dcterms:created xsi:type="dcterms:W3CDTF">2025-12-09T08:04:00Z</dcterms:created>
  <dcterms:modified xsi:type="dcterms:W3CDTF">2025-12-09T08:05:00Z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0x010100C8E2B041BBEBC649A26DA7C1028EF36B</vt:lpwstr>
  </property>
</Properties>
</file>