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A5F6" w14:textId="69FCC525" w:rsidR="008975AB" w:rsidRDefault="00EB77D2">
      <w:r>
        <w:t>Forslag endring Planvask – vedlegg 05</w:t>
      </w:r>
    </w:p>
    <w:tbl>
      <w:tblPr>
        <w:tblStyle w:val="Tabellrutenett"/>
        <w:tblW w:w="14107" w:type="dxa"/>
        <w:tblLook w:val="04A0" w:firstRow="1" w:lastRow="0" w:firstColumn="1" w:lastColumn="0" w:noHBand="0" w:noVBand="1"/>
      </w:tblPr>
      <w:tblGrid>
        <w:gridCol w:w="621"/>
        <w:gridCol w:w="2209"/>
        <w:gridCol w:w="1707"/>
        <w:gridCol w:w="1887"/>
        <w:gridCol w:w="7683"/>
      </w:tblGrid>
      <w:tr w:rsidR="00EB77D2" w:rsidRPr="005F6FC6" w14:paraId="12F8121A" w14:textId="5DA5C304" w:rsidTr="00EB77D2">
        <w:tc>
          <w:tcPr>
            <w:tcW w:w="621" w:type="dxa"/>
          </w:tcPr>
          <w:p w14:paraId="5209BCD1" w14:textId="464E40ED" w:rsidR="00EB77D2" w:rsidRPr="005F6FC6" w:rsidRDefault="00EB77D2">
            <w:pPr>
              <w:rPr>
                <w:rFonts w:ascii="Verdana" w:hAnsi="Verdana"/>
                <w:sz w:val="20"/>
                <w:szCs w:val="20"/>
                <w:u w:val="single"/>
              </w:rPr>
            </w:pPr>
            <w:r w:rsidRPr="005F6FC6">
              <w:rPr>
                <w:rFonts w:ascii="Verdana" w:hAnsi="Verdana"/>
                <w:sz w:val="20"/>
                <w:szCs w:val="20"/>
                <w:u w:val="single"/>
              </w:rPr>
              <w:t>PV</w:t>
            </w:r>
          </w:p>
        </w:tc>
        <w:tc>
          <w:tcPr>
            <w:tcW w:w="2209" w:type="dxa"/>
          </w:tcPr>
          <w:p w14:paraId="5A9D8F4A" w14:textId="0B3FF752" w:rsidR="00EB77D2" w:rsidRPr="005F6FC6" w:rsidRDefault="00EB77D2">
            <w:pPr>
              <w:rPr>
                <w:rFonts w:ascii="Verdana" w:hAnsi="Verdana"/>
                <w:sz w:val="20"/>
                <w:szCs w:val="20"/>
                <w:u w:val="single"/>
              </w:rPr>
            </w:pPr>
            <w:r w:rsidRPr="005F6FC6">
              <w:rPr>
                <w:rFonts w:ascii="Verdana" w:hAnsi="Verdana"/>
                <w:sz w:val="20"/>
                <w:szCs w:val="20"/>
                <w:u w:val="single"/>
              </w:rPr>
              <w:t>Sted</w:t>
            </w:r>
          </w:p>
        </w:tc>
        <w:tc>
          <w:tcPr>
            <w:tcW w:w="1707" w:type="dxa"/>
          </w:tcPr>
          <w:p w14:paraId="698F0344" w14:textId="1487DFD4" w:rsidR="00EB77D2" w:rsidRPr="005F6FC6" w:rsidRDefault="00EB77D2">
            <w:pPr>
              <w:rPr>
                <w:rFonts w:ascii="Verdana" w:hAnsi="Verdana"/>
                <w:sz w:val="20"/>
                <w:szCs w:val="20"/>
                <w:u w:val="single"/>
              </w:rPr>
            </w:pPr>
            <w:r w:rsidRPr="005F6FC6">
              <w:rPr>
                <w:rFonts w:ascii="Verdana" w:hAnsi="Verdana"/>
                <w:sz w:val="20"/>
                <w:szCs w:val="20"/>
                <w:u w:val="single"/>
              </w:rPr>
              <w:t>Innstilling</w:t>
            </w:r>
          </w:p>
        </w:tc>
        <w:tc>
          <w:tcPr>
            <w:tcW w:w="1887" w:type="dxa"/>
          </w:tcPr>
          <w:p w14:paraId="2E7D2B6F" w14:textId="1892F646" w:rsidR="00EB77D2" w:rsidRPr="005F6FC6" w:rsidRDefault="00EB77D2">
            <w:pPr>
              <w:rPr>
                <w:rFonts w:ascii="Verdana" w:hAnsi="Verdana"/>
                <w:sz w:val="20"/>
                <w:szCs w:val="20"/>
                <w:u w:val="single"/>
              </w:rPr>
            </w:pPr>
            <w:r w:rsidRPr="005F6FC6">
              <w:rPr>
                <w:rFonts w:ascii="Verdana" w:hAnsi="Verdana"/>
                <w:sz w:val="20"/>
                <w:szCs w:val="20"/>
                <w:u w:val="single"/>
              </w:rPr>
              <w:t>Forslag</w:t>
            </w:r>
          </w:p>
        </w:tc>
        <w:tc>
          <w:tcPr>
            <w:tcW w:w="7683" w:type="dxa"/>
          </w:tcPr>
          <w:p w14:paraId="3B375C3D" w14:textId="3902905B" w:rsidR="00EB77D2" w:rsidRPr="005F6FC6" w:rsidRDefault="00EB77D2">
            <w:pPr>
              <w:rPr>
                <w:rFonts w:ascii="Verdana" w:hAnsi="Verdana"/>
                <w:sz w:val="20"/>
                <w:szCs w:val="20"/>
                <w:u w:val="single"/>
              </w:rPr>
            </w:pPr>
            <w:r w:rsidRPr="005F6FC6">
              <w:rPr>
                <w:rFonts w:ascii="Verdana" w:hAnsi="Verdana"/>
                <w:sz w:val="20"/>
                <w:szCs w:val="20"/>
                <w:u w:val="single"/>
              </w:rPr>
              <w:t>Begrunnelse</w:t>
            </w:r>
          </w:p>
        </w:tc>
      </w:tr>
      <w:tr w:rsidR="00EB77D2" w:rsidRPr="005F6FC6" w14:paraId="09365336" w14:textId="55DA61FB" w:rsidTr="00EB77D2">
        <w:tc>
          <w:tcPr>
            <w:tcW w:w="621" w:type="dxa"/>
          </w:tcPr>
          <w:p w14:paraId="51DB1B94" w14:textId="3839F419" w:rsidR="00EB77D2" w:rsidRPr="005F6FC6" w:rsidRDefault="00EB77D2">
            <w:pPr>
              <w:rPr>
                <w:rFonts w:ascii="Verdana" w:hAnsi="Verdana"/>
                <w:sz w:val="20"/>
                <w:szCs w:val="20"/>
              </w:rPr>
            </w:pPr>
            <w:r w:rsidRPr="005F6FC6">
              <w:rPr>
                <w:rFonts w:ascii="Verdana" w:hAnsi="Verdana"/>
                <w:sz w:val="20"/>
                <w:szCs w:val="20"/>
              </w:rPr>
              <w:t>8</w:t>
            </w:r>
          </w:p>
        </w:tc>
        <w:tc>
          <w:tcPr>
            <w:tcW w:w="2209" w:type="dxa"/>
          </w:tcPr>
          <w:p w14:paraId="5DBDD614" w14:textId="7EE2EC3E" w:rsidR="00EB77D2" w:rsidRPr="005F6FC6" w:rsidRDefault="00EB77D2">
            <w:pPr>
              <w:rPr>
                <w:rFonts w:ascii="Verdana" w:hAnsi="Verdana"/>
                <w:sz w:val="20"/>
                <w:szCs w:val="20"/>
              </w:rPr>
            </w:pPr>
            <w:proofErr w:type="spellStart"/>
            <w:r w:rsidRPr="005F6FC6">
              <w:rPr>
                <w:rFonts w:ascii="Verdana" w:hAnsi="Verdana"/>
                <w:sz w:val="20"/>
                <w:szCs w:val="20"/>
              </w:rPr>
              <w:t>Kjekstadveien</w:t>
            </w:r>
            <w:proofErr w:type="spellEnd"/>
            <w:r w:rsidRPr="005F6FC6">
              <w:rPr>
                <w:rFonts w:ascii="Verdana" w:hAnsi="Verdana"/>
                <w:sz w:val="20"/>
                <w:szCs w:val="20"/>
              </w:rPr>
              <w:t xml:space="preserve"> 1</w:t>
            </w:r>
          </w:p>
        </w:tc>
        <w:tc>
          <w:tcPr>
            <w:tcW w:w="1707" w:type="dxa"/>
          </w:tcPr>
          <w:p w14:paraId="56CAAAE2" w14:textId="27D86E6B" w:rsidR="00EB77D2" w:rsidRPr="005F6FC6" w:rsidRDefault="00EB77D2">
            <w:pPr>
              <w:rPr>
                <w:rFonts w:ascii="Verdana" w:hAnsi="Verdana"/>
                <w:sz w:val="20"/>
                <w:szCs w:val="20"/>
              </w:rPr>
            </w:pPr>
            <w:r w:rsidRPr="005F6FC6">
              <w:rPr>
                <w:rFonts w:ascii="Verdana" w:hAnsi="Verdana"/>
                <w:sz w:val="20"/>
                <w:szCs w:val="20"/>
              </w:rPr>
              <w:t>Videreføres bolig</w:t>
            </w:r>
          </w:p>
        </w:tc>
        <w:tc>
          <w:tcPr>
            <w:tcW w:w="1887" w:type="dxa"/>
          </w:tcPr>
          <w:p w14:paraId="380A9657" w14:textId="5DC27A13" w:rsidR="00EB77D2" w:rsidRPr="005F6FC6" w:rsidRDefault="00EB77D2">
            <w:pPr>
              <w:rPr>
                <w:rFonts w:ascii="Verdana" w:hAnsi="Verdana"/>
                <w:sz w:val="20"/>
                <w:szCs w:val="20"/>
              </w:rPr>
            </w:pPr>
            <w:r w:rsidRPr="005F6FC6">
              <w:rPr>
                <w:rFonts w:ascii="Verdana" w:hAnsi="Verdana"/>
                <w:sz w:val="20"/>
                <w:szCs w:val="20"/>
              </w:rPr>
              <w:t>Tilbakefør LNF</w:t>
            </w:r>
          </w:p>
        </w:tc>
        <w:tc>
          <w:tcPr>
            <w:tcW w:w="7683" w:type="dxa"/>
          </w:tcPr>
          <w:p w14:paraId="35EDC183" w14:textId="2EE4010C" w:rsidR="00EB77D2" w:rsidRPr="005F6FC6" w:rsidRDefault="00EB77D2">
            <w:pPr>
              <w:rPr>
                <w:rFonts w:ascii="Verdana" w:hAnsi="Verdana"/>
                <w:sz w:val="20"/>
                <w:szCs w:val="20"/>
              </w:rPr>
            </w:pPr>
            <w:r w:rsidRPr="005F6FC6">
              <w:rPr>
                <w:rFonts w:ascii="Verdana" w:hAnsi="Verdana"/>
                <w:sz w:val="20"/>
                <w:szCs w:val="20"/>
              </w:rPr>
              <w:t>Dette arealet ligger i umiddelbar nærhet til dyrket areal og gårder. Arealet her vil trolig vil være egnet til oppdyrkingsareal uten vesentlige terrenginngrep og med plassering som anses velegnet for landbruksdrift. Man kan oppnå ca. 5 dekar nydyrkingsareal her. Hensynet til jordvern og oppdyrking av nye arealer, veier tyngre enn behov for fremtidig boligformål på dette arealet.</w:t>
            </w:r>
          </w:p>
        </w:tc>
      </w:tr>
      <w:tr w:rsidR="00EB77D2" w:rsidRPr="005F6FC6" w14:paraId="45DA3B52" w14:textId="7D258492" w:rsidTr="00EB77D2">
        <w:tc>
          <w:tcPr>
            <w:tcW w:w="621" w:type="dxa"/>
          </w:tcPr>
          <w:p w14:paraId="0422FCA9" w14:textId="7D825317" w:rsidR="00EB77D2" w:rsidRPr="005F6FC6" w:rsidRDefault="00EB77D2">
            <w:pPr>
              <w:rPr>
                <w:rFonts w:ascii="Verdana" w:hAnsi="Verdana"/>
                <w:sz w:val="20"/>
                <w:szCs w:val="20"/>
              </w:rPr>
            </w:pPr>
            <w:r w:rsidRPr="005F6FC6">
              <w:rPr>
                <w:rFonts w:ascii="Verdana" w:hAnsi="Verdana"/>
                <w:sz w:val="20"/>
                <w:szCs w:val="20"/>
              </w:rPr>
              <w:t>11</w:t>
            </w:r>
          </w:p>
        </w:tc>
        <w:tc>
          <w:tcPr>
            <w:tcW w:w="2209" w:type="dxa"/>
          </w:tcPr>
          <w:p w14:paraId="4D43A228" w14:textId="0F5BB943" w:rsidR="00EB77D2" w:rsidRPr="005F6FC6" w:rsidRDefault="00EB77D2">
            <w:pPr>
              <w:rPr>
                <w:rFonts w:ascii="Verdana" w:hAnsi="Verdana"/>
                <w:sz w:val="20"/>
                <w:szCs w:val="20"/>
              </w:rPr>
            </w:pPr>
            <w:r w:rsidRPr="005F6FC6">
              <w:rPr>
                <w:rFonts w:ascii="Verdana" w:hAnsi="Verdana"/>
                <w:sz w:val="20"/>
                <w:szCs w:val="20"/>
              </w:rPr>
              <w:t>Solbergåsen syd</w:t>
            </w:r>
          </w:p>
        </w:tc>
        <w:tc>
          <w:tcPr>
            <w:tcW w:w="1707" w:type="dxa"/>
          </w:tcPr>
          <w:p w14:paraId="36B0AC4D" w14:textId="1ECF643F" w:rsidR="00EB77D2" w:rsidRPr="005F6FC6" w:rsidRDefault="00EB77D2">
            <w:pPr>
              <w:rPr>
                <w:rFonts w:ascii="Verdana" w:hAnsi="Verdana"/>
                <w:sz w:val="20"/>
                <w:szCs w:val="20"/>
              </w:rPr>
            </w:pPr>
            <w:r w:rsidRPr="005F6FC6">
              <w:rPr>
                <w:rFonts w:ascii="Verdana" w:hAnsi="Verdana"/>
                <w:sz w:val="20"/>
                <w:szCs w:val="20"/>
              </w:rPr>
              <w:t>Tilbakeføres LNF</w:t>
            </w:r>
          </w:p>
        </w:tc>
        <w:tc>
          <w:tcPr>
            <w:tcW w:w="1887" w:type="dxa"/>
          </w:tcPr>
          <w:p w14:paraId="32CEE2A9" w14:textId="0757326A" w:rsidR="00EB77D2" w:rsidRPr="005F6FC6" w:rsidRDefault="00EB77D2">
            <w:pPr>
              <w:rPr>
                <w:rFonts w:ascii="Verdana" w:hAnsi="Verdana"/>
                <w:sz w:val="20"/>
                <w:szCs w:val="20"/>
              </w:rPr>
            </w:pPr>
            <w:r w:rsidRPr="005F6FC6">
              <w:rPr>
                <w:rFonts w:ascii="Verdana" w:hAnsi="Verdana"/>
                <w:sz w:val="20"/>
                <w:szCs w:val="20"/>
              </w:rPr>
              <w:t>Viderefør bolig</w:t>
            </w:r>
          </w:p>
        </w:tc>
        <w:tc>
          <w:tcPr>
            <w:tcW w:w="7683" w:type="dxa"/>
          </w:tcPr>
          <w:p w14:paraId="235BC7E8" w14:textId="7140EDEE" w:rsidR="00EB77D2" w:rsidRPr="005F6FC6" w:rsidRDefault="00EB77D2">
            <w:pPr>
              <w:rPr>
                <w:rFonts w:ascii="Verdana" w:hAnsi="Verdana"/>
                <w:sz w:val="20"/>
                <w:szCs w:val="20"/>
              </w:rPr>
            </w:pPr>
            <w:r w:rsidRPr="005F6FC6">
              <w:rPr>
                <w:rFonts w:ascii="Verdana" w:hAnsi="Verdana"/>
                <w:sz w:val="20"/>
                <w:szCs w:val="20"/>
              </w:rPr>
              <w:t>Arealet ligger nært opptil annet areal som nå er under regulering. Det er satt av vei i pågående regulering, til dette arealet. Det berører ikke landbruksareal og vil være en naturlig utvidelse av arealet som er under regulering</w:t>
            </w:r>
            <w:r w:rsidRPr="005F6FC6">
              <w:rPr>
                <w:rFonts w:ascii="Verdana" w:hAnsi="Verdana"/>
                <w:sz w:val="20"/>
                <w:szCs w:val="20"/>
              </w:rPr>
              <w:t xml:space="preserve">. Nødvendige hensyn avklares i plan. </w:t>
            </w:r>
          </w:p>
        </w:tc>
      </w:tr>
      <w:tr w:rsidR="00EB77D2" w:rsidRPr="005F6FC6" w14:paraId="0404696E" w14:textId="1310D44B" w:rsidTr="00EB77D2">
        <w:tc>
          <w:tcPr>
            <w:tcW w:w="621" w:type="dxa"/>
          </w:tcPr>
          <w:p w14:paraId="60228F08" w14:textId="63061960" w:rsidR="00EB77D2" w:rsidRPr="005F6FC6" w:rsidRDefault="00EB77D2">
            <w:pPr>
              <w:rPr>
                <w:rFonts w:ascii="Verdana" w:hAnsi="Verdana"/>
                <w:sz w:val="20"/>
                <w:szCs w:val="20"/>
              </w:rPr>
            </w:pPr>
            <w:r w:rsidRPr="005F6FC6">
              <w:rPr>
                <w:rFonts w:ascii="Verdana" w:hAnsi="Verdana"/>
                <w:sz w:val="20"/>
                <w:szCs w:val="20"/>
              </w:rPr>
              <w:t>19</w:t>
            </w:r>
          </w:p>
        </w:tc>
        <w:tc>
          <w:tcPr>
            <w:tcW w:w="2209" w:type="dxa"/>
          </w:tcPr>
          <w:p w14:paraId="28D6025F" w14:textId="1E0C3F07" w:rsidR="00EB77D2" w:rsidRPr="005F6FC6" w:rsidRDefault="00EB77D2">
            <w:pPr>
              <w:rPr>
                <w:rFonts w:ascii="Verdana" w:hAnsi="Verdana"/>
                <w:sz w:val="20"/>
                <w:szCs w:val="20"/>
              </w:rPr>
            </w:pPr>
            <w:r w:rsidRPr="005F6FC6">
              <w:rPr>
                <w:rFonts w:ascii="Verdana" w:hAnsi="Verdana"/>
                <w:sz w:val="20"/>
                <w:szCs w:val="20"/>
              </w:rPr>
              <w:t>Solbergåsen Vest</w:t>
            </w:r>
          </w:p>
        </w:tc>
        <w:tc>
          <w:tcPr>
            <w:tcW w:w="1707" w:type="dxa"/>
          </w:tcPr>
          <w:p w14:paraId="3525AF88" w14:textId="3CAA58CB" w:rsidR="00EB77D2" w:rsidRPr="005F6FC6" w:rsidRDefault="00EB77D2">
            <w:pPr>
              <w:rPr>
                <w:rFonts w:ascii="Verdana" w:hAnsi="Verdana"/>
                <w:sz w:val="20"/>
                <w:szCs w:val="20"/>
              </w:rPr>
            </w:pPr>
            <w:r w:rsidRPr="005F6FC6">
              <w:rPr>
                <w:rFonts w:ascii="Verdana" w:hAnsi="Verdana"/>
                <w:sz w:val="20"/>
                <w:szCs w:val="20"/>
              </w:rPr>
              <w:t>Tilbakeføres LNF</w:t>
            </w:r>
          </w:p>
        </w:tc>
        <w:tc>
          <w:tcPr>
            <w:tcW w:w="1887" w:type="dxa"/>
          </w:tcPr>
          <w:p w14:paraId="01CBD704" w14:textId="6E0E72BE" w:rsidR="00EB77D2" w:rsidRPr="005F6FC6" w:rsidRDefault="00EB77D2">
            <w:pPr>
              <w:rPr>
                <w:rFonts w:ascii="Verdana" w:hAnsi="Verdana"/>
                <w:sz w:val="20"/>
                <w:szCs w:val="20"/>
              </w:rPr>
            </w:pPr>
            <w:r w:rsidRPr="005F6FC6">
              <w:rPr>
                <w:rFonts w:ascii="Verdana" w:hAnsi="Verdana"/>
                <w:sz w:val="20"/>
                <w:szCs w:val="20"/>
              </w:rPr>
              <w:t>Viderefør bolig</w:t>
            </w:r>
          </w:p>
        </w:tc>
        <w:tc>
          <w:tcPr>
            <w:tcW w:w="7683" w:type="dxa"/>
          </w:tcPr>
          <w:p w14:paraId="07ACFFE4" w14:textId="00A417BE" w:rsidR="00EB77D2" w:rsidRPr="005F6FC6" w:rsidRDefault="00EB77D2">
            <w:pPr>
              <w:rPr>
                <w:rFonts w:ascii="Verdana" w:hAnsi="Verdana"/>
                <w:sz w:val="20"/>
                <w:szCs w:val="20"/>
              </w:rPr>
            </w:pPr>
            <w:r w:rsidRPr="005F6FC6">
              <w:rPr>
                <w:rFonts w:ascii="Verdana" w:hAnsi="Verdana"/>
                <w:sz w:val="20"/>
                <w:szCs w:val="20"/>
              </w:rPr>
              <w:t xml:space="preserve">Arealet ligger nært opptil annet areal som nå er under regulering, samt nærhet til høydebasseng. Området har lagt lenge i </w:t>
            </w:r>
            <w:proofErr w:type="spellStart"/>
            <w:r w:rsidRPr="005F6FC6">
              <w:rPr>
                <w:rFonts w:ascii="Verdana" w:hAnsi="Verdana"/>
                <w:sz w:val="20"/>
                <w:szCs w:val="20"/>
              </w:rPr>
              <w:t>kplan</w:t>
            </w:r>
            <w:proofErr w:type="spellEnd"/>
            <w:r w:rsidRPr="005F6FC6">
              <w:rPr>
                <w:rFonts w:ascii="Verdana" w:hAnsi="Verdana"/>
                <w:sz w:val="20"/>
                <w:szCs w:val="20"/>
              </w:rPr>
              <w:t xml:space="preserve"> i påvente av oppstart regulering i nærheten. Denne er nå startet og vil få en fin sammenheng med dette arealet. Området grenser ikke direkte til landbruksarealer og har i liten grad verdi som friluftsområde grunnet stigning.</w:t>
            </w:r>
          </w:p>
        </w:tc>
      </w:tr>
      <w:tr w:rsidR="00EB77D2" w:rsidRPr="005F6FC6" w14:paraId="06446B23" w14:textId="12E17B9D" w:rsidTr="00EB77D2">
        <w:tc>
          <w:tcPr>
            <w:tcW w:w="621" w:type="dxa"/>
          </w:tcPr>
          <w:p w14:paraId="384D648D" w14:textId="663CD659" w:rsidR="00EB77D2" w:rsidRPr="005F6FC6" w:rsidRDefault="00EB77D2">
            <w:pPr>
              <w:rPr>
                <w:rFonts w:ascii="Verdana" w:hAnsi="Verdana"/>
                <w:sz w:val="20"/>
                <w:szCs w:val="20"/>
              </w:rPr>
            </w:pPr>
            <w:r w:rsidRPr="005F6FC6">
              <w:rPr>
                <w:rFonts w:ascii="Verdana" w:hAnsi="Verdana"/>
                <w:sz w:val="20"/>
                <w:szCs w:val="20"/>
              </w:rPr>
              <w:t>24</w:t>
            </w:r>
          </w:p>
        </w:tc>
        <w:tc>
          <w:tcPr>
            <w:tcW w:w="2209" w:type="dxa"/>
          </w:tcPr>
          <w:p w14:paraId="0C17398D" w14:textId="613A2BB3" w:rsidR="00EB77D2" w:rsidRPr="005F6FC6" w:rsidRDefault="00EB77D2">
            <w:pPr>
              <w:rPr>
                <w:rFonts w:ascii="Verdana" w:hAnsi="Verdana"/>
                <w:sz w:val="20"/>
                <w:szCs w:val="20"/>
              </w:rPr>
            </w:pPr>
            <w:r w:rsidRPr="005F6FC6">
              <w:rPr>
                <w:rFonts w:ascii="Verdana" w:hAnsi="Verdana"/>
                <w:sz w:val="20"/>
                <w:szCs w:val="20"/>
              </w:rPr>
              <w:t>Husefjell</w:t>
            </w:r>
          </w:p>
        </w:tc>
        <w:tc>
          <w:tcPr>
            <w:tcW w:w="1707" w:type="dxa"/>
          </w:tcPr>
          <w:p w14:paraId="72079396" w14:textId="55F084C2" w:rsidR="00EB77D2" w:rsidRPr="005F6FC6" w:rsidRDefault="00EB77D2">
            <w:pPr>
              <w:rPr>
                <w:rFonts w:ascii="Verdana" w:hAnsi="Verdana"/>
                <w:sz w:val="20"/>
                <w:szCs w:val="20"/>
              </w:rPr>
            </w:pPr>
            <w:r w:rsidRPr="005F6FC6">
              <w:rPr>
                <w:rFonts w:ascii="Verdana" w:hAnsi="Verdana"/>
                <w:sz w:val="20"/>
                <w:szCs w:val="20"/>
              </w:rPr>
              <w:t>Videreføre bolig</w:t>
            </w:r>
          </w:p>
        </w:tc>
        <w:tc>
          <w:tcPr>
            <w:tcW w:w="1887" w:type="dxa"/>
          </w:tcPr>
          <w:p w14:paraId="27B5D8A1" w14:textId="5A62AF38" w:rsidR="00EB77D2" w:rsidRPr="005F6FC6" w:rsidRDefault="00EB77D2">
            <w:pPr>
              <w:rPr>
                <w:rFonts w:ascii="Verdana" w:hAnsi="Verdana"/>
                <w:sz w:val="20"/>
                <w:szCs w:val="20"/>
              </w:rPr>
            </w:pPr>
            <w:r w:rsidRPr="005F6FC6">
              <w:rPr>
                <w:rFonts w:ascii="Verdana" w:hAnsi="Verdana"/>
                <w:sz w:val="20"/>
                <w:szCs w:val="20"/>
              </w:rPr>
              <w:t>Tilbakefør LNF</w:t>
            </w:r>
          </w:p>
        </w:tc>
        <w:tc>
          <w:tcPr>
            <w:tcW w:w="7683" w:type="dxa"/>
          </w:tcPr>
          <w:p w14:paraId="6F4FE8D5" w14:textId="35315F2A" w:rsidR="00EB77D2" w:rsidRPr="005F6FC6" w:rsidRDefault="00EB77D2">
            <w:pPr>
              <w:rPr>
                <w:rFonts w:ascii="Verdana" w:hAnsi="Verdana"/>
                <w:sz w:val="20"/>
                <w:szCs w:val="20"/>
              </w:rPr>
            </w:pPr>
            <w:r w:rsidRPr="005F6FC6">
              <w:rPr>
                <w:rFonts w:ascii="Verdana" w:hAnsi="Verdana"/>
                <w:sz w:val="20"/>
                <w:szCs w:val="20"/>
              </w:rPr>
              <w:t>Store deler av dette arealet er markert som dyrkbart areal. Arealet ligger i umiddelbar nærhet til dyrket areal og gårder. Arealet utgjør ca. 5 dekar. Hensynet til jordvern og oppdyrking av nye arealer, veier tyngre enn behov for fremtidig boligformål på dette arealet.</w:t>
            </w:r>
          </w:p>
        </w:tc>
      </w:tr>
      <w:tr w:rsidR="00EB77D2" w:rsidRPr="005F6FC6" w14:paraId="516E65C0" w14:textId="67A4396C" w:rsidTr="00EB77D2">
        <w:tc>
          <w:tcPr>
            <w:tcW w:w="621" w:type="dxa"/>
          </w:tcPr>
          <w:p w14:paraId="09CEDE9B" w14:textId="5C3968FE" w:rsidR="00EB77D2" w:rsidRPr="005F6FC6" w:rsidRDefault="00EB77D2">
            <w:pPr>
              <w:rPr>
                <w:rFonts w:ascii="Verdana" w:hAnsi="Verdana"/>
                <w:sz w:val="20"/>
                <w:szCs w:val="20"/>
              </w:rPr>
            </w:pPr>
            <w:r w:rsidRPr="005F6FC6">
              <w:rPr>
                <w:rFonts w:ascii="Verdana" w:hAnsi="Verdana"/>
                <w:sz w:val="20"/>
                <w:szCs w:val="20"/>
              </w:rPr>
              <w:t>26</w:t>
            </w:r>
          </w:p>
        </w:tc>
        <w:tc>
          <w:tcPr>
            <w:tcW w:w="2209" w:type="dxa"/>
          </w:tcPr>
          <w:p w14:paraId="603E9F52" w14:textId="52B95B94" w:rsidR="00EB77D2" w:rsidRPr="005F6FC6" w:rsidRDefault="00EB77D2">
            <w:pPr>
              <w:rPr>
                <w:rFonts w:ascii="Verdana" w:hAnsi="Verdana"/>
                <w:sz w:val="20"/>
                <w:szCs w:val="20"/>
              </w:rPr>
            </w:pPr>
            <w:r w:rsidRPr="005F6FC6">
              <w:rPr>
                <w:rFonts w:ascii="Verdana" w:hAnsi="Verdana"/>
                <w:sz w:val="20"/>
                <w:szCs w:val="20"/>
              </w:rPr>
              <w:t>Mollandskjær vest</w:t>
            </w:r>
          </w:p>
        </w:tc>
        <w:tc>
          <w:tcPr>
            <w:tcW w:w="1707" w:type="dxa"/>
          </w:tcPr>
          <w:p w14:paraId="5D7303C6" w14:textId="4EAB6A50" w:rsidR="00EB77D2" w:rsidRPr="005F6FC6" w:rsidRDefault="00EB77D2">
            <w:pPr>
              <w:rPr>
                <w:rFonts w:ascii="Verdana" w:hAnsi="Verdana"/>
                <w:sz w:val="20"/>
                <w:szCs w:val="20"/>
              </w:rPr>
            </w:pPr>
            <w:r w:rsidRPr="005F6FC6">
              <w:rPr>
                <w:rFonts w:ascii="Verdana" w:hAnsi="Verdana"/>
                <w:sz w:val="20"/>
                <w:szCs w:val="20"/>
              </w:rPr>
              <w:t>Viderefør bolig</w:t>
            </w:r>
          </w:p>
        </w:tc>
        <w:tc>
          <w:tcPr>
            <w:tcW w:w="1887" w:type="dxa"/>
          </w:tcPr>
          <w:p w14:paraId="2064ADDB" w14:textId="6F2B57C4" w:rsidR="00EB77D2" w:rsidRPr="005F6FC6" w:rsidRDefault="00EB77D2">
            <w:pPr>
              <w:rPr>
                <w:rFonts w:ascii="Verdana" w:hAnsi="Verdana"/>
                <w:sz w:val="20"/>
                <w:szCs w:val="20"/>
              </w:rPr>
            </w:pPr>
            <w:r w:rsidRPr="005F6FC6">
              <w:rPr>
                <w:rFonts w:ascii="Verdana" w:hAnsi="Verdana"/>
                <w:sz w:val="20"/>
                <w:szCs w:val="20"/>
              </w:rPr>
              <w:t>Tilbakefør LNF</w:t>
            </w:r>
          </w:p>
        </w:tc>
        <w:tc>
          <w:tcPr>
            <w:tcW w:w="7683" w:type="dxa"/>
          </w:tcPr>
          <w:p w14:paraId="223BE2CA" w14:textId="557D5AB7" w:rsidR="00EB77D2" w:rsidRPr="005F6FC6" w:rsidRDefault="00EB77D2">
            <w:pPr>
              <w:rPr>
                <w:rFonts w:ascii="Verdana" w:hAnsi="Verdana"/>
                <w:sz w:val="20"/>
                <w:szCs w:val="20"/>
              </w:rPr>
            </w:pPr>
            <w:r w:rsidRPr="005F6FC6">
              <w:rPr>
                <w:rFonts w:ascii="Verdana" w:hAnsi="Verdana"/>
                <w:sz w:val="20"/>
                <w:szCs w:val="20"/>
              </w:rPr>
              <w:t xml:space="preserve">Arealet inneholder ca. 6 dekar fulldyrka jord, </w:t>
            </w:r>
            <w:r w:rsidRPr="005F6FC6">
              <w:rPr>
                <w:rFonts w:ascii="Verdana" w:hAnsi="Verdana"/>
                <w:sz w:val="20"/>
                <w:szCs w:val="20"/>
              </w:rPr>
              <w:t>ifølge</w:t>
            </w:r>
            <w:r w:rsidRPr="005F6FC6">
              <w:rPr>
                <w:rFonts w:ascii="Verdana" w:hAnsi="Verdana"/>
                <w:sz w:val="20"/>
                <w:szCs w:val="20"/>
              </w:rPr>
              <w:t xml:space="preserve"> NIBIO. Dette er relativt stor del av foreslått areal. Hensynet til jordvern, veier tyngre enn behov for fremtidig boligformål på dette arealet.</w:t>
            </w:r>
          </w:p>
        </w:tc>
      </w:tr>
      <w:tr w:rsidR="00EB77D2" w:rsidRPr="005F6FC6" w14:paraId="0171D368" w14:textId="77777777" w:rsidTr="00EB77D2">
        <w:tc>
          <w:tcPr>
            <w:tcW w:w="621" w:type="dxa"/>
          </w:tcPr>
          <w:p w14:paraId="222EE544" w14:textId="404D3AA8" w:rsidR="00EB77D2" w:rsidRPr="005F6FC6" w:rsidRDefault="00EB77D2">
            <w:pPr>
              <w:rPr>
                <w:rFonts w:ascii="Verdana" w:hAnsi="Verdana"/>
                <w:sz w:val="20"/>
                <w:szCs w:val="20"/>
              </w:rPr>
            </w:pPr>
            <w:r w:rsidRPr="005F6FC6">
              <w:rPr>
                <w:rFonts w:ascii="Verdana" w:hAnsi="Verdana"/>
                <w:sz w:val="20"/>
                <w:szCs w:val="20"/>
              </w:rPr>
              <w:t>49</w:t>
            </w:r>
          </w:p>
        </w:tc>
        <w:tc>
          <w:tcPr>
            <w:tcW w:w="2209" w:type="dxa"/>
          </w:tcPr>
          <w:p w14:paraId="7C1E2955" w14:textId="27CDF87B" w:rsidR="00EB77D2" w:rsidRPr="005F6FC6" w:rsidRDefault="00EB77D2">
            <w:pPr>
              <w:rPr>
                <w:rFonts w:ascii="Verdana" w:hAnsi="Verdana"/>
                <w:sz w:val="20"/>
                <w:szCs w:val="20"/>
              </w:rPr>
            </w:pPr>
            <w:r w:rsidRPr="005F6FC6">
              <w:rPr>
                <w:rFonts w:ascii="Verdana" w:hAnsi="Verdana"/>
                <w:sz w:val="20"/>
                <w:szCs w:val="20"/>
              </w:rPr>
              <w:t>Kroken/Tangen</w:t>
            </w:r>
          </w:p>
        </w:tc>
        <w:tc>
          <w:tcPr>
            <w:tcW w:w="1707" w:type="dxa"/>
          </w:tcPr>
          <w:p w14:paraId="2C249498" w14:textId="46DC4C77" w:rsidR="00EB77D2" w:rsidRPr="005F6FC6" w:rsidRDefault="00EB77D2">
            <w:pPr>
              <w:rPr>
                <w:rFonts w:ascii="Verdana" w:hAnsi="Verdana"/>
                <w:sz w:val="20"/>
                <w:szCs w:val="20"/>
              </w:rPr>
            </w:pPr>
            <w:r w:rsidRPr="005F6FC6">
              <w:rPr>
                <w:rFonts w:ascii="Verdana" w:hAnsi="Verdana"/>
                <w:sz w:val="20"/>
                <w:szCs w:val="20"/>
              </w:rPr>
              <w:t xml:space="preserve">Tilbakefør </w:t>
            </w:r>
            <w:r w:rsidR="005F6FC6" w:rsidRPr="005F6FC6">
              <w:rPr>
                <w:rFonts w:ascii="Verdana" w:hAnsi="Verdana"/>
                <w:sz w:val="20"/>
                <w:szCs w:val="20"/>
              </w:rPr>
              <w:t>LNF</w:t>
            </w:r>
          </w:p>
        </w:tc>
        <w:tc>
          <w:tcPr>
            <w:tcW w:w="1887" w:type="dxa"/>
          </w:tcPr>
          <w:p w14:paraId="126568A8" w14:textId="3C5D68DD" w:rsidR="00EB77D2" w:rsidRPr="005F6FC6" w:rsidRDefault="005F6FC6">
            <w:pPr>
              <w:rPr>
                <w:rFonts w:ascii="Verdana" w:hAnsi="Verdana"/>
                <w:sz w:val="20"/>
                <w:szCs w:val="20"/>
              </w:rPr>
            </w:pPr>
            <w:r w:rsidRPr="005F6FC6">
              <w:rPr>
                <w:rFonts w:ascii="Verdana" w:hAnsi="Verdana"/>
                <w:sz w:val="20"/>
                <w:szCs w:val="20"/>
              </w:rPr>
              <w:t>Viderefør næring</w:t>
            </w:r>
          </w:p>
        </w:tc>
        <w:tc>
          <w:tcPr>
            <w:tcW w:w="7683" w:type="dxa"/>
          </w:tcPr>
          <w:p w14:paraId="576CBBEA" w14:textId="388FBFA3" w:rsidR="00EB77D2" w:rsidRPr="005F6FC6" w:rsidRDefault="005F6FC6">
            <w:pPr>
              <w:rPr>
                <w:rFonts w:ascii="Verdana" w:hAnsi="Verdana"/>
                <w:sz w:val="20"/>
                <w:szCs w:val="20"/>
              </w:rPr>
            </w:pPr>
            <w:r w:rsidRPr="005F6FC6">
              <w:rPr>
                <w:rFonts w:ascii="Verdana" w:hAnsi="Verdana"/>
                <w:sz w:val="20"/>
                <w:szCs w:val="20"/>
              </w:rPr>
              <w:t xml:space="preserve">Det drives i dag næring på arealet, og nedbygging er ikke aktuelt. Området må ses i sammenheng med det bygget som ligger på andre siden av FV. Spredt eksisterende næring. Området har i tillegg lagt i komplan lenge, slik at bruken av arealet er tilpasset eksisterende situasjon på eiendommen.  </w:t>
            </w:r>
          </w:p>
        </w:tc>
      </w:tr>
    </w:tbl>
    <w:p w14:paraId="7E74D9C0" w14:textId="77777777" w:rsidR="00EB77D2" w:rsidRDefault="00EB77D2"/>
    <w:p w14:paraId="01D5B37E" w14:textId="77777777" w:rsidR="00EB77D2" w:rsidRDefault="00EB77D2"/>
    <w:sectPr w:rsidR="00EB77D2" w:rsidSect="00EB77D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D2"/>
    <w:rsid w:val="005F6FC6"/>
    <w:rsid w:val="00864606"/>
    <w:rsid w:val="008975AB"/>
    <w:rsid w:val="008D673F"/>
    <w:rsid w:val="00C17CA9"/>
    <w:rsid w:val="00EB77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DD21"/>
  <w15:chartTrackingRefBased/>
  <w15:docId w15:val="{61378885-ACCF-4231-9865-89F49B31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B7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B7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B77D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B77D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B77D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B77D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B77D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B77D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B77D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B77D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B77D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B77D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B77D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B77D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B77D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B77D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B77D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B77D2"/>
    <w:rPr>
      <w:rFonts w:eastAsiaTheme="majorEastAsia" w:cstheme="majorBidi"/>
      <w:color w:val="272727" w:themeColor="text1" w:themeTint="D8"/>
    </w:rPr>
  </w:style>
  <w:style w:type="paragraph" w:styleId="Tittel">
    <w:name w:val="Title"/>
    <w:basedOn w:val="Normal"/>
    <w:next w:val="Normal"/>
    <w:link w:val="TittelTegn"/>
    <w:uiPriority w:val="10"/>
    <w:qFormat/>
    <w:rsid w:val="00EB7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B77D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B77D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B77D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B77D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B77D2"/>
    <w:rPr>
      <w:i/>
      <w:iCs/>
      <w:color w:val="404040" w:themeColor="text1" w:themeTint="BF"/>
    </w:rPr>
  </w:style>
  <w:style w:type="paragraph" w:styleId="Listeavsnitt">
    <w:name w:val="List Paragraph"/>
    <w:basedOn w:val="Normal"/>
    <w:uiPriority w:val="34"/>
    <w:qFormat/>
    <w:rsid w:val="00EB77D2"/>
    <w:pPr>
      <w:ind w:left="720"/>
      <w:contextualSpacing/>
    </w:pPr>
  </w:style>
  <w:style w:type="character" w:styleId="Sterkutheving">
    <w:name w:val="Intense Emphasis"/>
    <w:basedOn w:val="Standardskriftforavsnitt"/>
    <w:uiPriority w:val="21"/>
    <w:qFormat/>
    <w:rsid w:val="00EB77D2"/>
    <w:rPr>
      <w:i/>
      <w:iCs/>
      <w:color w:val="0F4761" w:themeColor="accent1" w:themeShade="BF"/>
    </w:rPr>
  </w:style>
  <w:style w:type="paragraph" w:styleId="Sterktsitat">
    <w:name w:val="Intense Quote"/>
    <w:basedOn w:val="Normal"/>
    <w:next w:val="Normal"/>
    <w:link w:val="SterktsitatTegn"/>
    <w:uiPriority w:val="30"/>
    <w:qFormat/>
    <w:rsid w:val="00EB7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B77D2"/>
    <w:rPr>
      <w:i/>
      <w:iCs/>
      <w:color w:val="0F4761" w:themeColor="accent1" w:themeShade="BF"/>
    </w:rPr>
  </w:style>
  <w:style w:type="character" w:styleId="Sterkreferanse">
    <w:name w:val="Intense Reference"/>
    <w:basedOn w:val="Standardskriftforavsnitt"/>
    <w:uiPriority w:val="32"/>
    <w:qFormat/>
    <w:rsid w:val="00EB77D2"/>
    <w:rPr>
      <w:b/>
      <w:bCs/>
      <w:smallCaps/>
      <w:color w:val="0F4761" w:themeColor="accent1" w:themeShade="BF"/>
      <w:spacing w:val="5"/>
    </w:rPr>
  </w:style>
  <w:style w:type="table" w:styleId="Tabellrutenett">
    <w:name w:val="Table Grid"/>
    <w:basedOn w:val="Vanligtabell"/>
    <w:uiPriority w:val="39"/>
    <w:rsid w:val="00EB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1860</Characters>
  <Application>Microsoft Office Word</Application>
  <DocSecurity>0</DocSecurity>
  <Lines>80</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Gudveig Tønnesøl Dalaker</dc:creator>
  <cp:keywords/>
  <dc:description/>
  <cp:lastModifiedBy>Gudveig Tønnesøl Dalaker</cp:lastModifiedBy>
  <cp:revision>1</cp:revision>
  <dcterms:created xsi:type="dcterms:W3CDTF">2026-06-14T18:13:00Z</dcterms:created>
  <dcterms:modified xsi:type="dcterms:W3CDTF">2026-06-14T18:25:00Z</dcterms:modified>
</cp:coreProperties>
</file>