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F32F" w14:textId="03356203" w:rsidR="008975AB" w:rsidRDefault="009B77B3">
      <w:r>
        <w:t>Forslag endring KU innspill – vedlegg 04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23"/>
        <w:gridCol w:w="2415"/>
        <w:gridCol w:w="1427"/>
        <w:gridCol w:w="2051"/>
        <w:gridCol w:w="6702"/>
      </w:tblGrid>
      <w:tr w:rsidR="009B77B3" w:rsidRPr="009B77B3" w14:paraId="3F9F14AB" w14:textId="77777777" w:rsidTr="009B77B3">
        <w:tc>
          <w:tcPr>
            <w:tcW w:w="623" w:type="dxa"/>
          </w:tcPr>
          <w:p w14:paraId="5210443A" w14:textId="758D691E" w:rsidR="009B77B3" w:rsidRPr="009B77B3" w:rsidRDefault="009B77B3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B77B3">
              <w:rPr>
                <w:rFonts w:ascii="Verdana" w:hAnsi="Verdana"/>
                <w:sz w:val="20"/>
                <w:szCs w:val="20"/>
                <w:u w:val="single"/>
              </w:rPr>
              <w:t>Nr.</w:t>
            </w:r>
          </w:p>
        </w:tc>
        <w:tc>
          <w:tcPr>
            <w:tcW w:w="2415" w:type="dxa"/>
          </w:tcPr>
          <w:p w14:paraId="5516407B" w14:textId="60F51CC1" w:rsidR="009B77B3" w:rsidRPr="009B77B3" w:rsidRDefault="009B77B3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B77B3">
              <w:rPr>
                <w:rFonts w:ascii="Verdana" w:hAnsi="Verdana"/>
                <w:sz w:val="20"/>
                <w:szCs w:val="20"/>
                <w:u w:val="single"/>
              </w:rPr>
              <w:t>Navn</w:t>
            </w:r>
          </w:p>
        </w:tc>
        <w:tc>
          <w:tcPr>
            <w:tcW w:w="1427" w:type="dxa"/>
          </w:tcPr>
          <w:p w14:paraId="51B49F9A" w14:textId="69F08628" w:rsidR="009B77B3" w:rsidRPr="009B77B3" w:rsidRDefault="009B77B3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B77B3">
              <w:rPr>
                <w:rFonts w:ascii="Verdana" w:hAnsi="Verdana"/>
                <w:sz w:val="20"/>
                <w:szCs w:val="20"/>
                <w:u w:val="single"/>
              </w:rPr>
              <w:t>Innstilling</w:t>
            </w:r>
          </w:p>
        </w:tc>
        <w:tc>
          <w:tcPr>
            <w:tcW w:w="2051" w:type="dxa"/>
          </w:tcPr>
          <w:p w14:paraId="195BA686" w14:textId="22F9E446" w:rsidR="009B77B3" w:rsidRPr="009B77B3" w:rsidRDefault="009B77B3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B77B3">
              <w:rPr>
                <w:rFonts w:ascii="Verdana" w:hAnsi="Verdana"/>
                <w:sz w:val="20"/>
                <w:szCs w:val="20"/>
                <w:u w:val="single"/>
              </w:rPr>
              <w:t>Forslag</w:t>
            </w:r>
          </w:p>
        </w:tc>
        <w:tc>
          <w:tcPr>
            <w:tcW w:w="6702" w:type="dxa"/>
          </w:tcPr>
          <w:p w14:paraId="6C101268" w14:textId="28D9EEF4" w:rsidR="009B77B3" w:rsidRPr="009B77B3" w:rsidRDefault="009B77B3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B77B3">
              <w:rPr>
                <w:rFonts w:ascii="Verdana" w:hAnsi="Verdana"/>
                <w:sz w:val="20"/>
                <w:szCs w:val="20"/>
                <w:u w:val="single"/>
              </w:rPr>
              <w:t>Begrunnelse</w:t>
            </w:r>
          </w:p>
        </w:tc>
      </w:tr>
      <w:tr w:rsidR="009B77B3" w:rsidRPr="009B77B3" w14:paraId="74158976" w14:textId="77777777" w:rsidTr="009B77B3">
        <w:tc>
          <w:tcPr>
            <w:tcW w:w="623" w:type="dxa"/>
          </w:tcPr>
          <w:p w14:paraId="7A8F3BD6" w14:textId="310F807E" w:rsidR="009B77B3" w:rsidRPr="009B77B3" w:rsidRDefault="009B77B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2415" w:type="dxa"/>
          </w:tcPr>
          <w:p w14:paraId="63F76C30" w14:textId="73214C87" w:rsidR="009B77B3" w:rsidRPr="009B77B3" w:rsidRDefault="009B77B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Gjærbrøndveien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198</w:t>
            </w:r>
          </w:p>
        </w:tc>
        <w:tc>
          <w:tcPr>
            <w:tcW w:w="1427" w:type="dxa"/>
          </w:tcPr>
          <w:p w14:paraId="25FE5990" w14:textId="7580C686" w:rsidR="009B77B3" w:rsidRPr="009B77B3" w:rsidRDefault="009B77B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Bolig</w:t>
            </w:r>
          </w:p>
        </w:tc>
        <w:tc>
          <w:tcPr>
            <w:tcW w:w="2051" w:type="dxa"/>
          </w:tcPr>
          <w:p w14:paraId="29BEA0E9" w14:textId="10A54910" w:rsidR="009B77B3" w:rsidRPr="009B77B3" w:rsidRDefault="009B77B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LNF</w:t>
            </w:r>
          </w:p>
        </w:tc>
        <w:tc>
          <w:tcPr>
            <w:tcW w:w="6702" w:type="dxa"/>
          </w:tcPr>
          <w:p w14:paraId="112FDBF2" w14:textId="3DCEE4B4" w:rsidR="009B77B3" w:rsidRPr="009B77B3" w:rsidRDefault="009B77B3">
            <w:pPr>
              <w:rPr>
                <w:rFonts w:ascii="Verdana" w:hAnsi="Verdana"/>
                <w:sz w:val="20"/>
                <w:szCs w:val="20"/>
              </w:rPr>
            </w:pPr>
            <w:r w:rsidRPr="009B77B3">
              <w:rPr>
                <w:rFonts w:ascii="Verdana" w:hAnsi="Verdana"/>
                <w:sz w:val="20"/>
                <w:szCs w:val="20"/>
              </w:rPr>
              <w:t>Det finnes forekomster av viktig naturmangfold (</w:t>
            </w:r>
            <w:proofErr w:type="spellStart"/>
            <w:r w:rsidRPr="009B77B3">
              <w:rPr>
                <w:rFonts w:ascii="Verdana" w:hAnsi="Verdana"/>
                <w:sz w:val="20"/>
                <w:szCs w:val="20"/>
              </w:rPr>
              <w:t>rødknappsandbie</w:t>
            </w:r>
            <w:proofErr w:type="spellEnd"/>
            <w:r w:rsidRPr="009B77B3">
              <w:rPr>
                <w:rFonts w:ascii="Verdana" w:hAnsi="Verdana"/>
                <w:sz w:val="20"/>
                <w:szCs w:val="20"/>
              </w:rPr>
              <w:t>) som medfører konflikt med utbygging. Videre er 2,3 dekar av området registrert som fulldyrket jord. I en større sammenheng inngår innspillsområdet som en del av et i stor grad ferdig utbygd bolig området. Hensynet til jordvern, veier tyngre enn behov for fremtidig boligformål på dette arealet.</w:t>
            </w:r>
          </w:p>
        </w:tc>
      </w:tr>
      <w:tr w:rsidR="009B77B3" w:rsidRPr="009B77B3" w14:paraId="34CDA6FE" w14:textId="77777777" w:rsidTr="009B77B3">
        <w:tc>
          <w:tcPr>
            <w:tcW w:w="623" w:type="dxa"/>
          </w:tcPr>
          <w:p w14:paraId="415255FE" w14:textId="40F66E32" w:rsidR="009B77B3" w:rsidRPr="009B77B3" w:rsidRDefault="009B77B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2415" w:type="dxa"/>
          </w:tcPr>
          <w:p w14:paraId="0EB9BB9B" w14:textId="25203CE0" w:rsidR="009B77B3" w:rsidRPr="009B77B3" w:rsidRDefault="009B77B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Vik</w:t>
            </w:r>
          </w:p>
        </w:tc>
        <w:tc>
          <w:tcPr>
            <w:tcW w:w="1427" w:type="dxa"/>
          </w:tcPr>
          <w:p w14:paraId="065EE3FB" w14:textId="4CCDD49D" w:rsidR="009B77B3" w:rsidRPr="009B77B3" w:rsidRDefault="009B77B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Bolig</w:t>
            </w:r>
          </w:p>
        </w:tc>
        <w:tc>
          <w:tcPr>
            <w:tcW w:w="2051" w:type="dxa"/>
          </w:tcPr>
          <w:p w14:paraId="015CD048" w14:textId="2B3FC5EB" w:rsidR="009B77B3" w:rsidRPr="009B77B3" w:rsidRDefault="009B77B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LNF</w:t>
            </w:r>
          </w:p>
        </w:tc>
        <w:tc>
          <w:tcPr>
            <w:tcW w:w="6702" w:type="dxa"/>
          </w:tcPr>
          <w:p w14:paraId="60AF0131" w14:textId="031122CC" w:rsidR="009B77B3" w:rsidRPr="009B77B3" w:rsidRDefault="009B77B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Store deler </w:t>
            </w:r>
            <w:r w:rsidRPr="009B77B3">
              <w:rPr>
                <w:rFonts w:ascii="Verdana" w:hAnsi="Verdana"/>
                <w:sz w:val="20"/>
                <w:szCs w:val="20"/>
              </w:rPr>
              <w:t>av arealet er registrert som fulldyrka/dyrkbart areal. Dette er et relativt stort areal med nærhet til omkringliggende arealer i drift. Hensynet til jordvern, veier tyngre enn behov for fremtidig boligformål på dette arealet.</w:t>
            </w:r>
          </w:p>
        </w:tc>
      </w:tr>
      <w:tr w:rsidR="00CA5E6C" w:rsidRPr="009B77B3" w14:paraId="753DC187" w14:textId="77777777" w:rsidTr="009B77B3">
        <w:tc>
          <w:tcPr>
            <w:tcW w:w="623" w:type="dxa"/>
          </w:tcPr>
          <w:p w14:paraId="7EBB9452" w14:textId="48EE50B3" w:rsidR="00CA5E6C" w:rsidRDefault="00CA5E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2415" w:type="dxa"/>
          </w:tcPr>
          <w:p w14:paraId="7D35FABB" w14:textId="4EFF0CA7" w:rsidR="00CA5E6C" w:rsidRDefault="00CA5E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Skiftenes</w:t>
            </w:r>
          </w:p>
        </w:tc>
        <w:tc>
          <w:tcPr>
            <w:tcW w:w="1427" w:type="dxa"/>
          </w:tcPr>
          <w:p w14:paraId="1AE0DC56" w14:textId="3E212575" w:rsidR="00CA5E6C" w:rsidRDefault="00CA5E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LNF spredt</w:t>
            </w:r>
          </w:p>
        </w:tc>
        <w:tc>
          <w:tcPr>
            <w:tcW w:w="2051" w:type="dxa"/>
          </w:tcPr>
          <w:p w14:paraId="57D67318" w14:textId="77777777" w:rsidR="00CA5E6C" w:rsidRPr="009B77B3" w:rsidRDefault="00CA5E6C" w:rsidP="00CA5E6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9B77B3">
              <w:rPr>
                <w:rFonts w:ascii="Verdana" w:hAnsi="Verdana"/>
                <w:sz w:val="20"/>
                <w:szCs w:val="20"/>
                <w:lang w:val="en-US"/>
              </w:rPr>
              <w:t>20A – LNF</w:t>
            </w:r>
          </w:p>
          <w:p w14:paraId="3F718138" w14:textId="590A4219" w:rsidR="00CA5E6C" w:rsidRPr="009B77B3" w:rsidRDefault="00CA5E6C" w:rsidP="00CA5E6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9B77B3">
              <w:rPr>
                <w:rFonts w:ascii="Verdana" w:hAnsi="Verdana"/>
                <w:sz w:val="20"/>
                <w:szCs w:val="20"/>
                <w:lang w:val="en-US"/>
              </w:rPr>
              <w:t xml:space="preserve">20B+C+D - </w:t>
            </w:r>
            <w:proofErr w:type="spellStart"/>
            <w:r w:rsidRPr="009B77B3">
              <w:rPr>
                <w:rFonts w:ascii="Verdana" w:hAnsi="Verdana"/>
                <w:sz w:val="20"/>
                <w:szCs w:val="20"/>
                <w:lang w:val="en-US"/>
              </w:rPr>
              <w:t>bol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ig</w:t>
            </w:r>
            <w:proofErr w:type="spellEnd"/>
          </w:p>
        </w:tc>
        <w:tc>
          <w:tcPr>
            <w:tcW w:w="6702" w:type="dxa"/>
          </w:tcPr>
          <w:p w14:paraId="6855FCFF" w14:textId="77777777" w:rsidR="00CA5E6C" w:rsidRDefault="00CA5E6C" w:rsidP="00CA5E6C">
            <w:pPr>
              <w:rPr>
                <w:rFonts w:ascii="Verdana" w:hAnsi="Verdana"/>
                <w:sz w:val="20"/>
                <w:szCs w:val="20"/>
              </w:rPr>
            </w:pPr>
            <w:r w:rsidRPr="009B77B3">
              <w:rPr>
                <w:rFonts w:ascii="Verdana" w:hAnsi="Verdana"/>
                <w:sz w:val="20"/>
                <w:szCs w:val="20"/>
              </w:rPr>
              <w:t xml:space="preserve">20 a inneholder ca.34 dekar landbruksareal ifølge NIBIO. Dette er svært stort areal. </w:t>
            </w:r>
          </w:p>
          <w:p w14:paraId="0077211B" w14:textId="45D79F40" w:rsidR="00CA5E6C" w:rsidRPr="009B77B3" w:rsidRDefault="00CA5E6C" w:rsidP="00CA5E6C">
            <w:pPr>
              <w:rPr>
                <w:rFonts w:ascii="Verdana" w:hAnsi="Verdana"/>
                <w:sz w:val="20"/>
                <w:szCs w:val="20"/>
              </w:rPr>
            </w:pPr>
            <w:r w:rsidRPr="009B77B3">
              <w:rPr>
                <w:rFonts w:ascii="Verdana" w:hAnsi="Verdana"/>
                <w:sz w:val="20"/>
                <w:szCs w:val="20"/>
              </w:rPr>
              <w:t xml:space="preserve">Resten er skog/terreng. Man trenger noe areal til bolig utenfor sentrumsområdene da man ønsker bosetting i hele Grimstad. </w:t>
            </w:r>
            <w:r>
              <w:rPr>
                <w:rFonts w:ascii="Verdana" w:hAnsi="Verdana"/>
                <w:sz w:val="20"/>
                <w:szCs w:val="20"/>
              </w:rPr>
              <w:t xml:space="preserve">Eventuelle hensyn må ivaretas gjennom detaljplan. </w:t>
            </w:r>
            <w:r w:rsidRPr="009B77B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9B77B3" w:rsidRPr="009B77B3" w14:paraId="62DE0B1B" w14:textId="77777777" w:rsidTr="009B77B3">
        <w:tc>
          <w:tcPr>
            <w:tcW w:w="623" w:type="dxa"/>
          </w:tcPr>
          <w:p w14:paraId="29752526" w14:textId="16D504C5" w:rsidR="009B77B3" w:rsidRPr="009B77B3" w:rsidRDefault="00CA5E6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2415" w:type="dxa"/>
          </w:tcPr>
          <w:p w14:paraId="0E1EDC81" w14:textId="4EC5F5DD" w:rsidR="009B77B3" w:rsidRPr="009B77B3" w:rsidRDefault="004A2C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Enge</w:t>
            </w:r>
          </w:p>
        </w:tc>
        <w:tc>
          <w:tcPr>
            <w:tcW w:w="1427" w:type="dxa"/>
          </w:tcPr>
          <w:p w14:paraId="50FDEF18" w14:textId="67D69AC2" w:rsidR="009B77B3" w:rsidRPr="009B77B3" w:rsidRDefault="008B491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LNF – noe bolig</w:t>
            </w:r>
          </w:p>
        </w:tc>
        <w:tc>
          <w:tcPr>
            <w:tcW w:w="2051" w:type="dxa"/>
          </w:tcPr>
          <w:p w14:paraId="38CA4855" w14:textId="7FC1B079" w:rsidR="009B77B3" w:rsidRPr="009B77B3" w:rsidRDefault="008B491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Bolig</w:t>
            </w:r>
          </w:p>
        </w:tc>
        <w:tc>
          <w:tcPr>
            <w:tcW w:w="6702" w:type="dxa"/>
          </w:tcPr>
          <w:p w14:paraId="4345ABD6" w14:textId="6535BBA4" w:rsidR="009B77B3" w:rsidRPr="009B77B3" w:rsidRDefault="00DE2CC1" w:rsidP="00534D84">
            <w:pPr>
              <w:rPr>
                <w:rFonts w:ascii="Verdana" w:hAnsi="Verdana"/>
                <w:sz w:val="20"/>
                <w:szCs w:val="20"/>
              </w:rPr>
            </w:pPr>
            <w:r w:rsidRPr="00DE2CC1">
              <w:rPr>
                <w:rFonts w:ascii="Verdana" w:hAnsi="Verdana"/>
                <w:sz w:val="20"/>
                <w:szCs w:val="20"/>
              </w:rPr>
              <w:t xml:space="preserve">Ikke spesielt krevende terreng å bygge i. </w:t>
            </w:r>
            <w:r w:rsidR="00534D84" w:rsidRPr="00DE2CC1">
              <w:rPr>
                <w:rFonts w:ascii="Verdana" w:hAnsi="Verdana"/>
                <w:sz w:val="20"/>
                <w:szCs w:val="20"/>
              </w:rPr>
              <w:t xml:space="preserve">Utvidelse av eksisterende bebygde arealer og en sammenkobling av Eide og Homborsund. </w:t>
            </w:r>
            <w:r w:rsidR="00534D84">
              <w:rPr>
                <w:rFonts w:ascii="Verdana" w:hAnsi="Verdana"/>
                <w:sz w:val="20"/>
                <w:szCs w:val="20"/>
              </w:rPr>
              <w:t>Vil sannsynligvis gi</w:t>
            </w:r>
            <w:r w:rsidR="00534D84" w:rsidRPr="00DE2CC1">
              <w:rPr>
                <w:rFonts w:ascii="Verdana" w:hAnsi="Verdana"/>
                <w:sz w:val="20"/>
                <w:szCs w:val="20"/>
              </w:rPr>
              <w:t xml:space="preserve"> bedre va – løsninger, </w:t>
            </w:r>
            <w:proofErr w:type="spellStart"/>
            <w:r w:rsidR="00534D84" w:rsidRPr="00DE2CC1">
              <w:rPr>
                <w:rFonts w:ascii="Verdana" w:hAnsi="Verdana"/>
                <w:sz w:val="20"/>
                <w:szCs w:val="20"/>
              </w:rPr>
              <w:t>inkl</w:t>
            </w:r>
            <w:proofErr w:type="spellEnd"/>
            <w:r w:rsidR="00534D84" w:rsidRPr="00DE2CC1">
              <w:rPr>
                <w:rFonts w:ascii="Verdana" w:hAnsi="Verdana"/>
                <w:sz w:val="20"/>
                <w:szCs w:val="20"/>
              </w:rPr>
              <w:t xml:space="preserve"> brannvann</w:t>
            </w:r>
            <w:r w:rsidR="00534D84">
              <w:rPr>
                <w:rFonts w:ascii="Verdana" w:hAnsi="Verdana"/>
                <w:sz w:val="20"/>
                <w:szCs w:val="20"/>
              </w:rPr>
              <w:t xml:space="preserve"> i området for både eksisterende og eventuell ny bebyggelse</w:t>
            </w:r>
            <w:r w:rsidR="00534D84" w:rsidRPr="00DE2CC1">
              <w:rPr>
                <w:rFonts w:ascii="Verdana" w:hAnsi="Verdana"/>
                <w:sz w:val="20"/>
                <w:szCs w:val="20"/>
              </w:rPr>
              <w:t>.</w:t>
            </w:r>
            <w:r w:rsidRPr="00DE2CC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34D84">
              <w:rPr>
                <w:rFonts w:ascii="Verdana" w:hAnsi="Verdana"/>
                <w:sz w:val="20"/>
                <w:szCs w:val="20"/>
              </w:rPr>
              <w:t>Vesentlige v</w:t>
            </w:r>
            <w:r w:rsidRPr="00DE2CC1">
              <w:rPr>
                <w:rFonts w:ascii="Verdana" w:hAnsi="Verdana"/>
                <w:sz w:val="20"/>
                <w:szCs w:val="20"/>
              </w:rPr>
              <w:t>erdier må ivaretas gjennom detaljregulering – inkl</w:t>
            </w:r>
            <w:r w:rsidR="00534D84">
              <w:rPr>
                <w:rFonts w:ascii="Verdana" w:hAnsi="Verdana"/>
                <w:sz w:val="20"/>
                <w:szCs w:val="20"/>
              </w:rPr>
              <w:t>udert</w:t>
            </w:r>
            <w:r w:rsidRPr="00DE2CC1">
              <w:rPr>
                <w:rFonts w:ascii="Verdana" w:hAnsi="Verdana"/>
                <w:sz w:val="20"/>
                <w:szCs w:val="20"/>
              </w:rPr>
              <w:t xml:space="preserve"> turløyper. </w:t>
            </w:r>
          </w:p>
        </w:tc>
      </w:tr>
      <w:tr w:rsidR="009B77B3" w:rsidRPr="009B77B3" w14:paraId="34D2F96A" w14:textId="77777777" w:rsidTr="009B77B3">
        <w:tc>
          <w:tcPr>
            <w:tcW w:w="623" w:type="dxa"/>
          </w:tcPr>
          <w:p w14:paraId="71FAE269" w14:textId="3840D3C9" w:rsidR="009B77B3" w:rsidRDefault="009B77B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57</w:t>
            </w:r>
          </w:p>
        </w:tc>
        <w:tc>
          <w:tcPr>
            <w:tcW w:w="2415" w:type="dxa"/>
          </w:tcPr>
          <w:p w14:paraId="40CCBC1F" w14:textId="151EEBBB" w:rsidR="009B77B3" w:rsidRDefault="009B77B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Inntjore</w:t>
            </w:r>
            <w:proofErr w:type="spellEnd"/>
          </w:p>
        </w:tc>
        <w:tc>
          <w:tcPr>
            <w:tcW w:w="1427" w:type="dxa"/>
          </w:tcPr>
          <w:p w14:paraId="0959D359" w14:textId="1C98BC7C" w:rsidR="009B77B3" w:rsidRDefault="009B77B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LNF</w:t>
            </w:r>
          </w:p>
        </w:tc>
        <w:tc>
          <w:tcPr>
            <w:tcW w:w="2051" w:type="dxa"/>
          </w:tcPr>
          <w:p w14:paraId="560DA7E4" w14:textId="0A8D0D27" w:rsidR="009B77B3" w:rsidRPr="009B77B3" w:rsidRDefault="009B77B3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Næring</w:t>
            </w:r>
            <w:proofErr w:type="spellEnd"/>
          </w:p>
        </w:tc>
        <w:tc>
          <w:tcPr>
            <w:tcW w:w="6702" w:type="dxa"/>
          </w:tcPr>
          <w:p w14:paraId="64EEB642" w14:textId="3AE1D767" w:rsidR="009B77B3" w:rsidRPr="009B77B3" w:rsidRDefault="00FC7E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9B77B3" w:rsidRPr="009B77B3">
              <w:rPr>
                <w:rFonts w:ascii="Verdana" w:hAnsi="Verdana"/>
                <w:sz w:val="20"/>
                <w:szCs w:val="20"/>
              </w:rPr>
              <w:t xml:space="preserve">mrådet ligger nært Omre nord og er av god størrelse. Videre regulering må ivareta de utfordringer som er nevnt i kommunedirektørens innstilling i </w:t>
            </w:r>
            <w:proofErr w:type="spellStart"/>
            <w:r w:rsidR="009B77B3" w:rsidRPr="009B77B3">
              <w:rPr>
                <w:rFonts w:ascii="Verdana" w:hAnsi="Verdana"/>
                <w:sz w:val="20"/>
                <w:szCs w:val="20"/>
              </w:rPr>
              <w:t>fht</w:t>
            </w:r>
            <w:proofErr w:type="spellEnd"/>
            <w:r w:rsidR="009B77B3" w:rsidRPr="009B77B3">
              <w:rPr>
                <w:rFonts w:ascii="Verdana" w:hAnsi="Verdana"/>
                <w:sz w:val="20"/>
                <w:szCs w:val="20"/>
              </w:rPr>
              <w:t xml:space="preserve"> naturkvalitet, myrer, dyrkbart areal osv. Med så stort areal vil dette kunne løses i detaljplan.  </w:t>
            </w:r>
          </w:p>
        </w:tc>
      </w:tr>
      <w:tr w:rsidR="00FC7E5D" w:rsidRPr="009B77B3" w14:paraId="740C0DC2" w14:textId="77777777" w:rsidTr="009B77B3">
        <w:tc>
          <w:tcPr>
            <w:tcW w:w="623" w:type="dxa"/>
          </w:tcPr>
          <w:p w14:paraId="7B7C8D56" w14:textId="6EDFBBE2" w:rsidR="00FC7E5D" w:rsidRDefault="00FC7E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2415" w:type="dxa"/>
          </w:tcPr>
          <w:p w14:paraId="74470AAF" w14:textId="486A83AB" w:rsidR="00FC7E5D" w:rsidRDefault="00FC7E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Molland</w:t>
            </w:r>
          </w:p>
        </w:tc>
        <w:tc>
          <w:tcPr>
            <w:tcW w:w="1427" w:type="dxa"/>
          </w:tcPr>
          <w:p w14:paraId="6471D1E2" w14:textId="5FA33AE4" w:rsidR="00FC7E5D" w:rsidRDefault="00FC7E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LNF</w:t>
            </w:r>
          </w:p>
        </w:tc>
        <w:tc>
          <w:tcPr>
            <w:tcW w:w="2051" w:type="dxa"/>
          </w:tcPr>
          <w:p w14:paraId="7D8DC41B" w14:textId="755CAC2A" w:rsidR="00FC7E5D" w:rsidRDefault="00FC7E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Bolig/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forretning</w:t>
            </w:r>
            <w:proofErr w:type="spellEnd"/>
          </w:p>
        </w:tc>
        <w:tc>
          <w:tcPr>
            <w:tcW w:w="6702" w:type="dxa"/>
          </w:tcPr>
          <w:p w14:paraId="42A94D6C" w14:textId="173F248F" w:rsidR="00FC7E5D" w:rsidRDefault="00FC7E5D">
            <w:pPr>
              <w:rPr>
                <w:rFonts w:ascii="Verdana" w:hAnsi="Verdana"/>
                <w:sz w:val="20"/>
                <w:szCs w:val="20"/>
              </w:rPr>
            </w:pPr>
            <w:r w:rsidRPr="00FC7E5D">
              <w:rPr>
                <w:rFonts w:ascii="Verdana" w:hAnsi="Verdana"/>
                <w:sz w:val="20"/>
                <w:szCs w:val="20"/>
              </w:rPr>
              <w:t>Dette er et stort areal der man kan ivareta hensyn til naturmangfold, infrastruktur og liknende i reguleringsplan. Det er samtidig et areal og en plassering som kan gi bruk av arealet til formål som ikke det er etablert arealer til i kommunen for øvrig.</w:t>
            </w:r>
          </w:p>
        </w:tc>
      </w:tr>
      <w:tr w:rsidR="00346816" w:rsidRPr="009B77B3" w14:paraId="3CB1F63E" w14:textId="77777777" w:rsidTr="009B77B3">
        <w:tc>
          <w:tcPr>
            <w:tcW w:w="623" w:type="dxa"/>
          </w:tcPr>
          <w:p w14:paraId="7D03F87B" w14:textId="4F857F14" w:rsidR="00346816" w:rsidRDefault="0034681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77</w:t>
            </w:r>
          </w:p>
        </w:tc>
        <w:tc>
          <w:tcPr>
            <w:tcW w:w="2415" w:type="dxa"/>
          </w:tcPr>
          <w:p w14:paraId="1C609101" w14:textId="75E5049C" w:rsidR="00346816" w:rsidRDefault="00560298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Vågsholt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Krømpe</w:t>
            </w:r>
            <w:proofErr w:type="spellEnd"/>
          </w:p>
        </w:tc>
        <w:tc>
          <w:tcPr>
            <w:tcW w:w="1427" w:type="dxa"/>
          </w:tcPr>
          <w:p w14:paraId="3FA792D4" w14:textId="73BE6616" w:rsidR="00346816" w:rsidRDefault="0056029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LNF, LNF spredt og fritid</w:t>
            </w:r>
          </w:p>
        </w:tc>
        <w:tc>
          <w:tcPr>
            <w:tcW w:w="2051" w:type="dxa"/>
          </w:tcPr>
          <w:p w14:paraId="1AB8A316" w14:textId="6A079945" w:rsidR="00346816" w:rsidRPr="00AD4E0B" w:rsidRDefault="007C3EBF" w:rsidP="00AD4E0B">
            <w:pPr>
              <w:rPr>
                <w:rFonts w:ascii="Verdana" w:hAnsi="Verdana"/>
                <w:sz w:val="20"/>
                <w:szCs w:val="20"/>
              </w:rPr>
            </w:pPr>
            <w:r w:rsidRPr="00AD4E0B">
              <w:rPr>
                <w:rFonts w:ascii="Verdana" w:hAnsi="Verdana"/>
                <w:sz w:val="20"/>
                <w:szCs w:val="20"/>
              </w:rPr>
              <w:t>Bolig</w:t>
            </w:r>
          </w:p>
        </w:tc>
        <w:tc>
          <w:tcPr>
            <w:tcW w:w="6702" w:type="dxa"/>
          </w:tcPr>
          <w:p w14:paraId="38555530" w14:textId="2E3F1BFE" w:rsidR="00346816" w:rsidRPr="00FC7E5D" w:rsidRDefault="00F50EBA">
            <w:pPr>
              <w:rPr>
                <w:rFonts w:ascii="Verdana" w:hAnsi="Verdana"/>
                <w:sz w:val="20"/>
                <w:szCs w:val="20"/>
              </w:rPr>
            </w:pPr>
            <w:r w:rsidRPr="00237E2A">
              <w:rPr>
                <w:rFonts w:ascii="Verdana" w:hAnsi="Verdana"/>
                <w:sz w:val="20"/>
                <w:szCs w:val="20"/>
              </w:rPr>
              <w:t>Landskapet er typisk småkupert med mange innslag av mindre koller og dalsøkk</w:t>
            </w:r>
            <w:r w:rsidR="00BC0F16" w:rsidRPr="00237E2A">
              <w:rPr>
                <w:rFonts w:ascii="Verdana" w:hAnsi="Verdana"/>
                <w:sz w:val="20"/>
                <w:szCs w:val="20"/>
              </w:rPr>
              <w:t>.</w:t>
            </w:r>
            <w:r w:rsidR="00BC0F16">
              <w:rPr>
                <w:rFonts w:ascii="Verdana" w:hAnsi="Verdana"/>
                <w:sz w:val="20"/>
                <w:szCs w:val="20"/>
              </w:rPr>
              <w:t xml:space="preserve"> Arealet er forholdsvis stort slik at reguleringsplan kan ivareta hensyn til verdier som må ivaretas. </w:t>
            </w:r>
            <w:r w:rsidR="009B2C4C">
              <w:rPr>
                <w:rFonts w:ascii="Verdana" w:hAnsi="Verdana"/>
                <w:sz w:val="20"/>
                <w:szCs w:val="20"/>
              </w:rPr>
              <w:t xml:space="preserve">Deler av området er under regulering, og resten vil kunne være naturlig fremtidig utvidelse. </w:t>
            </w:r>
            <w:r w:rsidR="006671A4">
              <w:rPr>
                <w:rFonts w:ascii="Verdana" w:hAnsi="Verdana"/>
                <w:sz w:val="20"/>
                <w:szCs w:val="20"/>
              </w:rPr>
              <w:t xml:space="preserve">Strategisk plassert mellom fremtidig næringsareal og </w:t>
            </w:r>
            <w:r w:rsidR="00237E2A">
              <w:rPr>
                <w:rFonts w:ascii="Verdana" w:hAnsi="Verdana"/>
                <w:sz w:val="20"/>
                <w:szCs w:val="20"/>
              </w:rPr>
              <w:t xml:space="preserve">sentrumssonen på Homborsund. </w:t>
            </w:r>
          </w:p>
        </w:tc>
      </w:tr>
      <w:tr w:rsidR="00FC7E5D" w:rsidRPr="009B77B3" w14:paraId="0B99B08A" w14:textId="77777777" w:rsidTr="009B77B3">
        <w:tc>
          <w:tcPr>
            <w:tcW w:w="623" w:type="dxa"/>
          </w:tcPr>
          <w:p w14:paraId="31E914B8" w14:textId="4B8253A6" w:rsidR="00FC7E5D" w:rsidRDefault="00FC7E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90</w:t>
            </w:r>
          </w:p>
        </w:tc>
        <w:tc>
          <w:tcPr>
            <w:tcW w:w="2415" w:type="dxa"/>
          </w:tcPr>
          <w:p w14:paraId="55CC9E66" w14:textId="3A3BDEAF" w:rsidR="00FC7E5D" w:rsidRDefault="00FC7E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Fremtidig idrettsanlegg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Imås</w:t>
            </w:r>
            <w:proofErr w:type="spellEnd"/>
          </w:p>
        </w:tc>
        <w:tc>
          <w:tcPr>
            <w:tcW w:w="1427" w:type="dxa"/>
          </w:tcPr>
          <w:p w14:paraId="25E59ACE" w14:textId="0EDD8CB4" w:rsidR="00FC7E5D" w:rsidRDefault="00640E1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Bolig</w:t>
            </w:r>
          </w:p>
        </w:tc>
        <w:tc>
          <w:tcPr>
            <w:tcW w:w="2051" w:type="dxa"/>
          </w:tcPr>
          <w:p w14:paraId="74708BF4" w14:textId="56E2DBB3" w:rsidR="00FC7E5D" w:rsidRDefault="00FC7E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LNF</w:t>
            </w:r>
          </w:p>
        </w:tc>
        <w:tc>
          <w:tcPr>
            <w:tcW w:w="6702" w:type="dxa"/>
          </w:tcPr>
          <w:p w14:paraId="1CB5F58C" w14:textId="626A9382" w:rsidR="00FC7E5D" w:rsidRPr="00FC7E5D" w:rsidRDefault="00FC7E5D">
            <w:pPr>
              <w:rPr>
                <w:rFonts w:ascii="Verdana" w:hAnsi="Verdana"/>
                <w:sz w:val="20"/>
                <w:szCs w:val="20"/>
              </w:rPr>
            </w:pPr>
            <w:r w:rsidRPr="00FC7E5D">
              <w:rPr>
                <w:rFonts w:ascii="Verdana" w:hAnsi="Verdana"/>
                <w:sz w:val="20"/>
                <w:szCs w:val="20"/>
              </w:rPr>
              <w:t>Arealet inkluderer ca. 11dekar dyrket/dyrkbart areal. Dette er med andre store landbruksarealer som bør beholdes selv om dette er inneklemt. Det er ikke utfordrende å drifte så lenge arealet er så stort. Hensynet til jordvern, veier tyngre enn behov for idrettsanlegg på dette arealet.</w:t>
            </w:r>
          </w:p>
        </w:tc>
      </w:tr>
    </w:tbl>
    <w:p w14:paraId="6FB46221" w14:textId="51B3CC2E" w:rsidR="009B77B3" w:rsidRPr="009B77B3" w:rsidRDefault="009B77B3"/>
    <w:sectPr w:rsidR="009B77B3" w:rsidRPr="009B77B3" w:rsidSect="009B77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13031"/>
    <w:multiLevelType w:val="hybridMultilevel"/>
    <w:tmpl w:val="E066517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82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B3"/>
    <w:rsid w:val="00237E2A"/>
    <w:rsid w:val="00346816"/>
    <w:rsid w:val="004A2CC2"/>
    <w:rsid w:val="00534D84"/>
    <w:rsid w:val="00560298"/>
    <w:rsid w:val="00640E12"/>
    <w:rsid w:val="006505F4"/>
    <w:rsid w:val="006671A4"/>
    <w:rsid w:val="00667280"/>
    <w:rsid w:val="0070080E"/>
    <w:rsid w:val="007C3EBF"/>
    <w:rsid w:val="00864606"/>
    <w:rsid w:val="008975AB"/>
    <w:rsid w:val="008B4910"/>
    <w:rsid w:val="008C3CCD"/>
    <w:rsid w:val="008D673F"/>
    <w:rsid w:val="008E44A1"/>
    <w:rsid w:val="009B2C4C"/>
    <w:rsid w:val="009B77B3"/>
    <w:rsid w:val="009D10E1"/>
    <w:rsid w:val="00AD4E0B"/>
    <w:rsid w:val="00BC0F16"/>
    <w:rsid w:val="00C17CA9"/>
    <w:rsid w:val="00CA5E6C"/>
    <w:rsid w:val="00DE2CC1"/>
    <w:rsid w:val="00F50EBA"/>
    <w:rsid w:val="00FC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ACDA"/>
  <w15:chartTrackingRefBased/>
  <w15:docId w15:val="{AE1E101B-B55A-4B58-ABB0-FC096A54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B7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7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7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7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7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7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7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7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7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7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B7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B7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B77B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77B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77B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77B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77B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77B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B7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B7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B7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7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B7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B77B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B77B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B77B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B7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B77B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B77B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9B7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Gudveig Tønnesøl Dalaker</dc:creator>
  <cp:keywords/>
  <dc:description/>
  <cp:lastModifiedBy>Gudveig Tønnesøl Dalaker</cp:lastModifiedBy>
  <cp:revision>20</cp:revision>
  <dcterms:created xsi:type="dcterms:W3CDTF">2026-06-14T18:25:00Z</dcterms:created>
  <dcterms:modified xsi:type="dcterms:W3CDTF">2026-06-15T18:46:00Z</dcterms:modified>
</cp:coreProperties>
</file>