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7irzg45oxn0" w:id="0"/>
      <w:bookmarkEnd w:id="0"/>
      <w:r w:rsidDel="00000000" w:rsidR="00000000" w:rsidRPr="00000000">
        <w:rPr>
          <w:rtl w:val="0"/>
        </w:rPr>
        <w:t xml:space="preserve">Forslag til arbeidsområder for RPMF i perioden 2026–2030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rPr/>
      </w:pPr>
      <w:bookmarkStart w:colFirst="0" w:colLast="0" w:name="_8gw4uohr04pe" w:id="1"/>
      <w:bookmarkEnd w:id="1"/>
      <w:r w:rsidDel="00000000" w:rsidR="00000000" w:rsidRPr="00000000">
        <w:rPr>
          <w:rtl w:val="0"/>
        </w:rPr>
        <w:t xml:space="preserve">Menneskerettigheter som styrende ramme (CRPD i alle planer)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CRPD skal være eksplisitt integrert i alle kommunale planer og strategier. Det skal aldri vedtas en kommunal plan uten at menneskerettighetene for personer med funksjonsnedsettelse er vurdert, dokumentert og fulgt opp i tiltak og budsjett.</w:t>
      </w:r>
    </w:p>
    <w:p w:rsidR="00000000" w:rsidDel="00000000" w:rsidP="00000000" w:rsidRDefault="00000000" w:rsidRPr="00000000" w14:paraId="00000005">
      <w:pPr>
        <w:pStyle w:val="Heading2"/>
        <w:rPr/>
      </w:pPr>
      <w:bookmarkStart w:colFirst="0" w:colLast="0" w:name="_ysl7eeeqsf77" w:id="2"/>
      <w:bookmarkEnd w:id="2"/>
      <w:r w:rsidDel="00000000" w:rsidR="00000000" w:rsidRPr="00000000">
        <w:rPr>
          <w:rtl w:val="0"/>
        </w:rPr>
        <w:t xml:space="preserve">Plan og budsjett – fra prinsipp til forpliktelse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Likestilling for personer med funksjonsnedsettelse må inn som egne mål og føringer i plandokumentene, slik at de danner grunnlag for konkrete tiltak og prioriteringer i de årlige budsjettene gjennom hele planperioden.</w:t>
      </w:r>
    </w:p>
    <w:p w:rsidR="00000000" w:rsidDel="00000000" w:rsidP="00000000" w:rsidRDefault="00000000" w:rsidRPr="00000000" w14:paraId="00000007">
      <w:pPr>
        <w:pStyle w:val="Heading2"/>
        <w:rPr/>
      </w:pPr>
      <w:bookmarkStart w:colFirst="0" w:colLast="0" w:name="_lj3je5xr063y" w:id="3"/>
      <w:bookmarkEnd w:id="3"/>
      <w:r w:rsidDel="00000000" w:rsidR="00000000" w:rsidRPr="00000000">
        <w:rPr>
          <w:rtl w:val="0"/>
        </w:rPr>
        <w:t xml:space="preserve">Universell utforming som eget hovedtema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Universell utforming skal være grunnlaget for all planlegging, utbygging og tjenesteutforming i kommunen. Dette er et likestillingsverktøy, ikke et særtiltak, og avgjørende for full samfunnsdeltakelse.</w:t>
      </w:r>
    </w:p>
    <w:p w:rsidR="00000000" w:rsidDel="00000000" w:rsidP="00000000" w:rsidRDefault="00000000" w:rsidRPr="00000000" w14:paraId="00000009">
      <w:pPr>
        <w:pStyle w:val="Heading2"/>
        <w:rPr/>
      </w:pPr>
      <w:bookmarkStart w:colFirst="0" w:colLast="0" w:name="_p2u3qmgcx2t2" w:id="4"/>
      <w:bookmarkEnd w:id="4"/>
      <w:r w:rsidDel="00000000" w:rsidR="00000000" w:rsidRPr="00000000">
        <w:rPr>
          <w:rtl w:val="0"/>
        </w:rPr>
        <w:t xml:space="preserve">BPA som førstevalg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Brukerstyrt personlig assistanse (BPA) skal være førstevalg i organiseringen av kommunale helse- og omsorgstjenester der vilkårene er oppfylt. BPA er et likestillings- og inkluderingsverktøy, ikke en ekstraordinær tjeneste.</w:t>
      </w:r>
    </w:p>
    <w:p w:rsidR="00000000" w:rsidDel="00000000" w:rsidP="00000000" w:rsidRDefault="00000000" w:rsidRPr="00000000" w14:paraId="0000000B">
      <w:pPr>
        <w:pStyle w:val="Heading2"/>
        <w:rPr/>
      </w:pPr>
      <w:bookmarkStart w:colFirst="0" w:colLast="0" w:name="_af2yqejo0nwf" w:id="5"/>
      <w:bookmarkEnd w:id="5"/>
      <w:r w:rsidDel="00000000" w:rsidR="00000000" w:rsidRPr="00000000">
        <w:rPr>
          <w:rtl w:val="0"/>
        </w:rPr>
        <w:t xml:space="preserve">Helse- og omsorgstjenester – helhet og rettighet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Kommunen må sikre koordinerte, helhetlige og rettighetsbaserte tjenester, inkludert personlig assistanse, praktisk bistand, BPA, habilitering, rehabilitering og psykisk helse. Individuelle behovsvurderinger skal alltid ligge til grunn.</w:t>
      </w:r>
    </w:p>
    <w:p w:rsidR="00000000" w:rsidDel="00000000" w:rsidP="00000000" w:rsidRDefault="00000000" w:rsidRPr="00000000" w14:paraId="0000000D">
      <w:pPr>
        <w:pStyle w:val="Heading2"/>
        <w:rPr/>
      </w:pPr>
      <w:bookmarkStart w:colFirst="0" w:colLast="0" w:name="_3yn4fkgmhu7u" w:id="6"/>
      <w:bookmarkEnd w:id="6"/>
      <w:r w:rsidDel="00000000" w:rsidR="00000000" w:rsidRPr="00000000">
        <w:rPr>
          <w:rtl w:val="0"/>
        </w:rPr>
        <w:t xml:space="preserve">Folkehelse – inkludering i hele livsløpet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Kommunens folkehelsearbeid må aktivt inkludere personer med funksjonsnedsettelse og kronisk sykdom. Lik tilgang til helsefremmende arenaer, forebygging og deltakelse er en forutsetning for sosial bærekraft.</w:t>
      </w:r>
    </w:p>
    <w:p w:rsidR="00000000" w:rsidDel="00000000" w:rsidP="00000000" w:rsidRDefault="00000000" w:rsidRPr="00000000" w14:paraId="0000000F">
      <w:pPr>
        <w:pStyle w:val="Heading2"/>
        <w:rPr/>
      </w:pPr>
      <w:bookmarkStart w:colFirst="0" w:colLast="0" w:name="_qv9duj56gu2v" w:id="7"/>
      <w:bookmarkEnd w:id="7"/>
      <w:r w:rsidDel="00000000" w:rsidR="00000000" w:rsidRPr="00000000">
        <w:rPr>
          <w:rtl w:val="0"/>
        </w:rPr>
        <w:t xml:space="preserve">Arbeid – funksjonshemmede som ressurs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Hol kommune skal være en inkluderende arbeidsgiver og oppfylle aktivitets- og redegjørelsesplikten. Universell utforming og individuell tilrettelegging på arbeidsplassen er avgjørende for å ta i bruk kompetansen og ressursene personer med funksjonsnedsettelse representerer.</w:t>
      </w:r>
    </w:p>
    <w:p w:rsidR="00000000" w:rsidDel="00000000" w:rsidP="00000000" w:rsidRDefault="00000000" w:rsidRPr="00000000" w14:paraId="00000011">
      <w:pPr>
        <w:pStyle w:val="Heading2"/>
        <w:rPr/>
      </w:pPr>
      <w:bookmarkStart w:colFirst="0" w:colLast="0" w:name="_tqwddnu2a6hw" w:id="8"/>
      <w:bookmarkEnd w:id="8"/>
      <w:r w:rsidDel="00000000" w:rsidR="00000000" w:rsidRPr="00000000">
        <w:rPr>
          <w:rtl w:val="0"/>
        </w:rPr>
        <w:t xml:space="preserve">Barnehage – tidlig inkludering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Kommunen må sikre et tilgjengelig og inkluderende barnehagetilbud, tilrettelagt ut fra barnets individuelle behov. Tidlig innsats forebygger utenforskap og legger grunnlaget for likestilling senere i livet.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eu3pt6iq0eej" w:id="9"/>
      <w:bookmarkEnd w:id="9"/>
      <w:r w:rsidDel="00000000" w:rsidR="00000000" w:rsidRPr="00000000">
        <w:rPr>
          <w:rtl w:val="0"/>
        </w:rPr>
        <w:t xml:space="preserve">Skole – nærskoleprinsippet i praksis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Alle barn skal kunne gå på sin nærskole og være del av fellesskapet. Universell utforming, fysisk tilrettelegging, spesialundervisning, praktisk bistand og gode overganger mellom nivåer er avgjørende.</w:t>
      </w:r>
    </w:p>
    <w:p w:rsidR="00000000" w:rsidDel="00000000" w:rsidP="00000000" w:rsidRDefault="00000000" w:rsidRPr="00000000" w14:paraId="00000015">
      <w:pPr>
        <w:pStyle w:val="Heading2"/>
        <w:rPr/>
      </w:pPr>
      <w:bookmarkStart w:colFirst="0" w:colLast="0" w:name="_g65o9aoca6a" w:id="10"/>
      <w:bookmarkEnd w:id="10"/>
      <w:r w:rsidDel="00000000" w:rsidR="00000000" w:rsidRPr="00000000">
        <w:rPr>
          <w:rtl w:val="0"/>
        </w:rPr>
        <w:t xml:space="preserve">Familier med funksjonshemmede barn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Familier med stort omsorgsansvar må få tilstrekkelig støtte, avlastning, veiledning og forutsigbare tjenester. Samordning mellom sektorer er avgjørende for å redusere belastning og sikre barnets beste.</w:t>
      </w:r>
    </w:p>
    <w:p w:rsidR="00000000" w:rsidDel="00000000" w:rsidP="00000000" w:rsidRDefault="00000000" w:rsidRPr="00000000" w14:paraId="00000017">
      <w:pPr>
        <w:pStyle w:val="Heading2"/>
        <w:rPr/>
      </w:pPr>
      <w:bookmarkStart w:colFirst="0" w:colLast="0" w:name="_2nat5d624p6v" w:id="11"/>
      <w:bookmarkEnd w:id="11"/>
      <w:r w:rsidDel="00000000" w:rsidR="00000000" w:rsidRPr="00000000">
        <w:rPr>
          <w:rtl w:val="0"/>
        </w:rPr>
        <w:t xml:space="preserve">Bolig – grunnlag for selvstendige liv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Personer med funksjonsnedsettelse må kunne etablere seg i egnede og tilgjengelige boliger som fremmer selvstendighet, deltakelse og livskvalitet – der de vil, med de menneskene de vil. Kommunen må gi riktig og tilstrekkelig bistand ved behov for tilpasning og byggesøknader, m.m..</w:t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mqvarpkgtppo" w:id="12"/>
      <w:bookmarkEnd w:id="1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Fritid, kultur og idrett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Alle skal ha reell tilgang til meningsfulle fritids-, kultur- og idrettsaktiviteter. Tilgjengelighet, tilstrekkelig assistanse og en fungerende ledsagerordning er avgjørende for sosial deltakelse.</w:t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qgo0m88f77vm" w:id="13"/>
      <w:bookmarkEnd w:id="1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Samferdsel og mobilitet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Innbyggere med funksjonsnedsettelse skal kunne ferdes på lik linje med andre. Dette forutsetter universelt utformede løsninger, god TT-praksis, tilstrekkelig parkering, korrekt tildeling av parkeringstillatelser og godt vintervedlikehold.</w:t>
      </w:r>
    </w:p>
    <w:p w:rsidR="00000000" w:rsidDel="00000000" w:rsidP="00000000" w:rsidRDefault="00000000" w:rsidRPr="00000000" w14:paraId="0000001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10c18awcaw1" w:id="14"/>
      <w:bookmarkEnd w:id="1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Forberedende opplæring for voksne (FOV)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Kommunen må gi god veiledning og et tilpasset opplæringstilbud for voksne med funksjonsnedsettelse. U.u., personlig assistanse (BPA), tekniske hjelpemidler og fysisk og pedagogisk tilrettelegging må være tilgjengelig ved behov.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