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0604FE07" w14:textId="77777777">
      <w:pPr>
        <w:jc w:val="right"/>
        <w:rPr>
          <w:sz w:val="16"/>
          <w:szCs w:val="16"/>
        </w:rPr>
      </w:pPr>
      <w:r w:rsidRPr="007A4E1D">
        <w:rPr>
          <w:sz w:val="16"/>
          <w:szCs w:val="16"/>
        </w:rPr>
        <w:t xml:space="preserve">Arkivreferanse: </w:t>
      </w:r>
      <w:bookmarkStart w:id="0" w:name="Saksnr"/>
      <w:r w:rsidRPr="007A4E1D">
        <w:rPr>
          <w:sz w:val="16"/>
          <w:szCs w:val="16"/>
        </w:rPr>
        <w:t>2023/4631</w:t>
      </w:r>
      <w:bookmarkEnd w:id="0"/>
      <w:r w:rsidRPr="007A4E1D">
        <w:rPr>
          <w:sz w:val="16"/>
          <w:szCs w:val="16"/>
        </w:rPr>
        <w:t>-</w:t>
      </w:r>
      <w:bookmarkStart w:id="1" w:name="NrISak"/>
      <w:r w:rsidRPr="007A4E1D">
        <w:rPr>
          <w:sz w:val="16"/>
          <w:szCs w:val="16"/>
        </w:rPr>
        <w:t>28</w:t>
      </w:r>
      <w:bookmarkEnd w:id="1"/>
    </w:p>
    <w:p w:rsidR="002A0765" w:rsidRPr="005C4F95" w:rsidP="00144E39" w14:paraId="0891F95C" w14:textId="77777777">
      <w:pPr>
        <w:jc w:val="right"/>
        <w:rPr>
          <w:sz w:val="16"/>
          <w:szCs w:val="16"/>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5C4F95">
        <w:rPr>
          <w:sz w:val="16"/>
          <w:szCs w:val="16"/>
        </w:rPr>
        <w:t>Ida Marie Tøsse</w:t>
      </w:r>
      <w:bookmarkEnd w:id="2"/>
    </w:p>
    <w:p w:rsidR="00144E39" w:rsidRPr="00907116" w:rsidP="00144E39" w14:paraId="6317F558" w14:textId="77777777">
      <w:pPr>
        <w:jc w:val="right"/>
        <w:rPr>
          <w:rStyle w:val="PageNumber"/>
          <w:rFonts w:cs="Arial"/>
          <w:bCs/>
          <w:sz w:val="16"/>
          <w:szCs w:val="16"/>
        </w:rPr>
      </w:pPr>
    </w:p>
    <w:p w:rsidR="00144E39" w:rsidP="00144E39" w14:paraId="292C1047"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RPr="005C4F95" w:rsidP="00144E39" w14:paraId="1A794F6F" w14:textId="77777777">
      <w:pPr>
        <w:jc w:val="right"/>
        <w:rPr>
          <w:b/>
        </w:rPr>
      </w:pPr>
    </w:p>
    <w:p w:rsidR="00144E39" w:rsidRPr="005C4F95" w:rsidP="00144E39" w14:paraId="3AE90E6C" w14:textId="77777777">
      <w:pPr>
        <w:jc w:val="right"/>
        <w:rPr>
          <w: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02DFD4A2" w14:textId="77777777" w:rsidTr="0092292C">
        <w:tblPrEx>
          <w:tblW w:w="9077" w:type="dxa"/>
          <w:tblLook w:val="0200"/>
        </w:tblPrEx>
        <w:tc>
          <w:tcPr>
            <w:tcW w:w="9077" w:type="dxa"/>
            <w:gridSpan w:val="3"/>
            <w:tcBorders>
              <w:bottom w:val="single" w:sz="4" w:space="0" w:color="auto"/>
            </w:tcBorders>
          </w:tcPr>
          <w:p w:rsidR="00A46A0C" w:rsidRPr="00AD11D4" w:rsidP="00EA188C" w14:paraId="19DB0873" w14:textId="77777777">
            <w:pPr>
              <w:rPr>
                <w:b/>
              </w:rPr>
            </w:pPr>
            <w:r w:rsidRPr="00AD11D4">
              <w:rPr>
                <w:b/>
              </w:rPr>
              <w:t>Sak</w:t>
            </w:r>
            <w:r w:rsidRPr="00AD11D4" w:rsidR="00AD11D4">
              <w:rPr>
                <w:b/>
              </w:rPr>
              <w:t>ens gang</w:t>
            </w:r>
          </w:p>
        </w:tc>
      </w:tr>
      <w:tr w14:paraId="44C33825" w14:textId="77777777" w:rsidTr="0092292C">
        <w:tblPrEx>
          <w:tblW w:w="9077" w:type="dxa"/>
          <w:tblLook w:val="0200"/>
        </w:tblPrEx>
        <w:tc>
          <w:tcPr>
            <w:tcW w:w="1560" w:type="dxa"/>
            <w:tcBorders>
              <w:top w:val="single" w:sz="4" w:space="0" w:color="auto"/>
              <w:bottom w:val="nil"/>
            </w:tcBorders>
          </w:tcPr>
          <w:p w:rsidR="0059292C" w:rsidRPr="0046377C" w14:paraId="5FED0ECF"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245E11BD"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47DB57C7" w14:textId="77777777">
            <w:pPr>
              <w:rPr>
                <w:b/>
                <w:sz w:val="18"/>
                <w:szCs w:val="18"/>
              </w:rPr>
            </w:pPr>
            <w:r w:rsidRPr="0046377C">
              <w:rPr>
                <w:b/>
                <w:sz w:val="18"/>
                <w:szCs w:val="18"/>
              </w:rPr>
              <w:t>Utvalg</w:t>
            </w:r>
          </w:p>
        </w:tc>
      </w:tr>
      <w:tr w14:paraId="4CF7CDA8" w14:textId="77777777" w:rsidTr="0092292C">
        <w:tblPrEx>
          <w:tblW w:w="9077" w:type="dxa"/>
          <w:tblLook w:val="0200"/>
        </w:tblPrEx>
        <w:trPr>
          <w:trHeight w:hRule="exact" w:val="295"/>
        </w:trPr>
        <w:tc>
          <w:tcPr>
            <w:tcW w:w="1560" w:type="dxa"/>
            <w:tcBorders>
              <w:top w:val="nil"/>
            </w:tcBorders>
          </w:tcPr>
          <w:p w:rsidR="0059292C" w:rsidRPr="00DA6852" w14:paraId="104DCEE4" w14:textId="77777777">
            <w:pPr>
              <w:rPr>
                <w:sz w:val="18"/>
                <w:szCs w:val="18"/>
              </w:rPr>
            </w:pPr>
            <w:bookmarkStart w:id="4" w:name="Saksgang"/>
            <w:bookmarkEnd w:id="4"/>
          </w:p>
        </w:tc>
        <w:tc>
          <w:tcPr>
            <w:tcW w:w="1275" w:type="dxa"/>
            <w:tcBorders>
              <w:top w:val="nil"/>
            </w:tcBorders>
          </w:tcPr>
          <w:p w:rsidR="0059292C" w:rsidRPr="00DA6852" w14:paraId="1406C671" w14:textId="77777777">
            <w:pPr>
              <w:rPr>
                <w:sz w:val="18"/>
                <w:szCs w:val="18"/>
              </w:rPr>
            </w:pPr>
          </w:p>
        </w:tc>
        <w:tc>
          <w:tcPr>
            <w:tcW w:w="6242" w:type="dxa"/>
            <w:tcBorders>
              <w:top w:val="nil"/>
            </w:tcBorders>
          </w:tcPr>
          <w:p w:rsidR="0059292C" w:rsidRPr="00DA6852" w14:paraId="62F786B6" w14:textId="77777777">
            <w:pPr>
              <w:rPr>
                <w:sz w:val="18"/>
                <w:szCs w:val="18"/>
              </w:rPr>
            </w:pPr>
            <w:r w:rsidRPr="00DA6852">
              <w:rPr>
                <w:sz w:val="18"/>
                <w:szCs w:val="18"/>
              </w:rPr>
              <w:t>Hovedutvalg teknisk, miljø og næring</w:t>
            </w:r>
          </w:p>
        </w:tc>
      </w:tr>
    </w:tbl>
    <w:p w:rsidR="004413BF" w:rsidP="00EA188C" w14:paraId="59998231" w14:textId="77777777">
      <w:pPr>
        <w:rPr>
          <w:b/>
        </w:rPr>
      </w:pPr>
    </w:p>
    <w:p w:rsidR="00A10FA2" w:rsidRPr="00793D38" w:rsidP="00851585" w14:paraId="71247BAC" w14:textId="77777777">
      <w:pPr>
        <w:pStyle w:val="Heading1"/>
        <w:spacing w:line="360" w:lineRule="auto"/>
        <w:rPr>
          <w:sz w:val="26"/>
          <w:szCs w:val="26"/>
        </w:rPr>
      </w:pPr>
      <w:bookmarkStart w:id="5" w:name="TITTEL"/>
      <w:r w:rsidRPr="00793D38">
        <w:rPr>
          <w:sz w:val="26"/>
          <w:szCs w:val="26"/>
        </w:rPr>
        <w:t>Klagebehandling: Kommunens klagebehandling - Tilbygg - Eiendom 42/318/0/1</w:t>
      </w:r>
      <w:bookmarkEnd w:id="5"/>
    </w:p>
    <w:p w:rsidR="0030373B" w:rsidRPr="00827A8F" w:rsidP="00DA6852" w14:paraId="1FA96894" w14:textId="77777777">
      <w:pPr>
        <w:pStyle w:val="Heading2"/>
      </w:pPr>
      <w:bookmarkStart w:id="6" w:name="Innstilling"/>
      <w:r>
        <w:t>Kommunedirektørens</w:t>
      </w:r>
      <w:r w:rsidR="00424963">
        <w:t xml:space="preserve"> </w:t>
      </w:r>
      <w:r w:rsidR="004C7874">
        <w:t>innstilling</w:t>
      </w:r>
    </w:p>
    <w:p w:rsidR="00A059D5" w:rsidP="00A059D5" w14:paraId="411DA93E" w14:textId="77777777">
      <w:pPr>
        <w:rPr>
          <w:rFonts w:cs="Arial"/>
          <w:iCs/>
          <w:szCs w:val="28"/>
        </w:rPr>
      </w:pPr>
      <w:r w:rsidRPr="00A059D5">
        <w:rPr>
          <w:rFonts w:cs="Arial"/>
          <w:iCs/>
          <w:szCs w:val="28"/>
        </w:rPr>
        <w:t xml:space="preserve">Hovedutvalget teknisk, miljø og næring har behandlet klage på vedtak i delegasjonssak 2023/4631-18 datert 19.08.2026, hvor Hustadvika kommune fant å godkjenne endring av tilbygg på eiendom 42/318/0/1. </w:t>
      </w:r>
      <w:r w:rsidRPr="00A059D5">
        <w:rPr>
          <w:rFonts w:cs="Arial"/>
          <w:iCs/>
          <w:szCs w:val="28"/>
        </w:rPr>
        <w:br/>
      </w:r>
      <w:r w:rsidRPr="00A059D5">
        <w:rPr>
          <w:rFonts w:cs="Arial"/>
          <w:iCs/>
          <w:szCs w:val="28"/>
        </w:rPr>
        <w:br/>
        <w:t>Hovedutvalget teknisk</w:t>
      </w:r>
      <w:r>
        <w:rPr>
          <w:rFonts w:cs="Arial"/>
          <w:iCs/>
          <w:szCs w:val="28"/>
        </w:rPr>
        <w:t>,</w:t>
      </w:r>
      <w:r w:rsidRPr="00A059D5">
        <w:rPr>
          <w:rFonts w:cs="Arial"/>
          <w:iCs/>
          <w:szCs w:val="28"/>
        </w:rPr>
        <w:t xml:space="preserve"> miljø og næring o</w:t>
      </w:r>
      <w:r>
        <w:rPr>
          <w:rFonts w:cs="Arial"/>
          <w:iCs/>
          <w:szCs w:val="28"/>
        </w:rPr>
        <w:t>p</w:t>
      </w:r>
      <w:r w:rsidRPr="00A059D5">
        <w:rPr>
          <w:rFonts w:cs="Arial"/>
          <w:iCs/>
          <w:szCs w:val="28"/>
        </w:rPr>
        <w:t xml:space="preserve">prettholder vedtaket av 19.08.2026 da det ikke har kommet nye momenter i saken som gir grunnlag for å endre vedtaket. </w:t>
      </w:r>
      <w:r w:rsidRPr="00A059D5">
        <w:rPr>
          <w:rFonts w:cs="Arial"/>
          <w:iCs/>
          <w:szCs w:val="28"/>
        </w:rPr>
        <w:br/>
      </w:r>
      <w:r w:rsidRPr="00A059D5">
        <w:rPr>
          <w:rFonts w:cs="Arial"/>
          <w:iCs/>
          <w:szCs w:val="28"/>
        </w:rPr>
        <w:br/>
        <w:t xml:space="preserve">Saken videresendes til klageinstansen Statsforvalteren i Møre og Romsdal for endelig avgjørelse. </w:t>
      </w:r>
    </w:p>
    <w:p w:rsidR="00851585" w:rsidP="00A16C77" w14:paraId="29F28132" w14:textId="77777777">
      <w:pPr>
        <w:spacing w:after="0"/>
      </w:pPr>
    </w:p>
    <w:p w:rsidR="00A16C77" w:rsidP="00A16C77" w14:paraId="5753348D" w14:textId="77777777">
      <w:pPr>
        <w:spacing w:after="0"/>
      </w:pPr>
      <w:bookmarkStart w:id="7" w:name="SJEKKLISTE_VEDTAK"/>
      <w:bookmarkEnd w:id="7"/>
    </w:p>
    <w:p w:rsidR="00A059D5" w:rsidP="00A16C77" w14:paraId="2E13F9D0" w14:textId="77777777">
      <w:pPr>
        <w:spacing w:after="0"/>
      </w:pPr>
    </w:p>
    <w:p w:rsidR="00A059D5" w:rsidRPr="00A16C77" w:rsidP="00A16C77" w14:paraId="4F636C50" w14:textId="77777777">
      <w:pPr>
        <w:spacing w:after="0"/>
      </w:pPr>
    </w:p>
    <w:p w:rsidR="002D10E8" w:rsidRPr="00A16C77" w:rsidP="00A16C77" w14:paraId="343F2B67" w14:textId="77777777">
      <w:pPr>
        <w:spacing w:after="0"/>
      </w:pPr>
      <w:r w:rsidRPr="00A16C77">
        <w:fldChar w:fldCharType="begin"/>
      </w:r>
      <w:r w:rsidRPr="00A16C77">
        <w:instrText xml:space="preserve">  </w:instrText>
      </w:r>
      <w:r w:rsidRPr="00A16C77">
        <w:fldChar w:fldCharType="end"/>
      </w:r>
    </w:p>
    <w:p w:rsidR="00EA188C" w:rsidP="00884029" w14:paraId="7670EF4C" w14:textId="77777777">
      <w:pPr>
        <w:pStyle w:val="Normalskjulttekst"/>
      </w:pPr>
      <w:r>
        <w:t>Slutt på innstilling</w:t>
      </w:r>
      <w:r w:rsidR="004C7874">
        <w:t>, skriv under overskriften. Ikke bruk tabell i innstilling, men bilde kan brukes.</w:t>
      </w:r>
    </w:p>
    <w:bookmarkEnd w:id="6"/>
    <w:p w:rsidR="00851585" w:rsidP="00510201" w14:paraId="6599317D" w14:textId="77777777">
      <w:pPr>
        <w:rPr>
          <w:rFonts w:cs="Arial"/>
          <w:b/>
          <w:bCs/>
          <w:iCs/>
          <w:szCs w:val="28"/>
        </w:rPr>
      </w:pPr>
    </w:p>
    <w:p w:rsidR="00542CB3" w:rsidP="00510201" w14:paraId="5FEAA681" w14:textId="77777777">
      <w:pPr>
        <w:rPr>
          <w:rFonts w:cs="Arial"/>
          <w:b/>
          <w:bCs/>
          <w:iCs/>
          <w:szCs w:val="28"/>
        </w:rPr>
      </w:pPr>
    </w:p>
    <w:p w:rsidR="00582D95" w:rsidP="00510201" w14:paraId="410C846B" w14:textId="0B4E8FAD">
      <w:pPr>
        <w:rPr>
          <w:rFonts w:cs="Arial"/>
          <w:b/>
          <w:bCs/>
          <w:iCs/>
          <w:szCs w:val="28"/>
        </w:rPr>
      </w:pPr>
      <w:r>
        <w:rPr>
          <w:rFonts w:cs="Arial"/>
          <w:b/>
          <w:bCs/>
          <w:iCs/>
          <w:szCs w:val="28"/>
        </w:rPr>
        <w:t>Sammendrag</w:t>
      </w:r>
    </w:p>
    <w:p w:rsidR="00F055B9" w:rsidP="00510201" w14:paraId="697F5F71" w14:textId="2ADD6A95">
      <w:r>
        <w:rPr>
          <w:rFonts w:cs="Arial"/>
          <w:iCs/>
          <w:szCs w:val="28"/>
        </w:rPr>
        <w:t>Hustadvika kommune mottok den 11.09.2023 søknad om tilbygg til bolig på eiendom 42/318/0/1 fra tiltakshaver Tone Marita Male.</w:t>
      </w:r>
      <w:r w:rsidRPr="00A059D5">
        <w:t xml:space="preserve"> </w:t>
      </w:r>
      <w:r>
        <w:t xml:space="preserve">Det ble gitt tillatelse </w:t>
      </w:r>
      <w:r w:rsidR="000C0375">
        <w:t xml:space="preserve">til tilbygget </w:t>
      </w:r>
      <w:r>
        <w:t>29.09.2023</w:t>
      </w:r>
      <w:r w:rsidR="000C0375">
        <w:t xml:space="preserve"> i sak 2023/4631-2. </w:t>
      </w:r>
    </w:p>
    <w:p w:rsidR="00C55068" w:rsidRPr="00F055B9" w:rsidP="00510201" w14:paraId="5A5D271E" w14:textId="45CB7F3F">
      <w:r>
        <w:t>Det ble søkt om endring av tillatelsen</w:t>
      </w:r>
      <w:r w:rsidR="00542CB3">
        <w:t xml:space="preserve"> den</w:t>
      </w:r>
      <w:r>
        <w:t xml:space="preserve"> 06.07.2026. Endringene ble godkjent i sak 2023/4631-18 datert 19.08.2026. Vedtaket ligger vedlagt. </w:t>
      </w:r>
      <w:r>
        <w:br/>
      </w:r>
      <w:r>
        <w:br/>
        <w:t>Naboene</w:t>
      </w:r>
      <w:r w:rsidR="008C286A">
        <w:t xml:space="preserve"> i </w:t>
      </w:r>
      <w:r w:rsidR="008C286A">
        <w:t>Hauanvegen</w:t>
      </w:r>
      <w:r w:rsidR="008C286A">
        <w:t xml:space="preserve"> </w:t>
      </w:r>
      <w:r>
        <w:t>2</w:t>
      </w:r>
      <w:r w:rsidR="008C286A">
        <w:t>8B</w:t>
      </w:r>
      <w:r>
        <w:t xml:space="preserve"> klaget på vedtaket den 26.08.2026. Naboen i </w:t>
      </w:r>
      <w:r>
        <w:t>Hauanvegen</w:t>
      </w:r>
      <w:r>
        <w:t xml:space="preserve"> 18B klaget på vedtaket 07.09.2026. Naboene i </w:t>
      </w:r>
      <w:r>
        <w:t>Hauanvegen</w:t>
      </w:r>
      <w:r>
        <w:t xml:space="preserve"> 26A klaget på vedtaket 08.09.2026.  Klagene ligger vedlagt i sin helhet.</w:t>
      </w:r>
    </w:p>
    <w:p w:rsidR="005E48A9" w:rsidRPr="00DA6852" w:rsidP="00DA6852" w14:paraId="57632516" w14:textId="77777777">
      <w:pPr>
        <w:pStyle w:val="Heading2"/>
      </w:pPr>
      <w:r>
        <w:t>Saksopplysninger</w:t>
      </w:r>
    </w:p>
    <w:p w:rsidR="00A36E6B" w:rsidP="005E48A9" w14:paraId="42A2592B" w14:textId="480287B7">
      <w:bookmarkStart w:id="8" w:name="Start"/>
      <w:bookmarkStart w:id="9" w:name="SJEKKLISTE_UTREDNING"/>
      <w:bookmarkEnd w:id="8"/>
      <w:bookmarkEnd w:id="9"/>
      <w:r>
        <w:rPr>
          <w:rFonts w:cs="Arial"/>
          <w:iCs/>
          <w:szCs w:val="28"/>
        </w:rPr>
        <w:t>Hustadvika kommune mottok den 11.09.2023 søknad om tilbygg til bolig på eiendom 42/318/0/1 fra tiltakshaver Tone Marita Male.</w:t>
      </w:r>
      <w:r w:rsidRPr="00A059D5">
        <w:t xml:space="preserve"> </w:t>
      </w:r>
      <w:r>
        <w:t>Det ble gitt tillatelse 29.09.2023</w:t>
      </w:r>
      <w:r w:rsidR="000C0375">
        <w:t xml:space="preserve"> i sak 2023/4631-2. </w:t>
      </w:r>
      <w:r>
        <w:br/>
      </w:r>
      <w:r>
        <w:br/>
        <w:t xml:space="preserve">Tiltakshaver var inne på kontoret til veiledning 12.05.2026 og leverte samme dag en endringssøknad </w:t>
      </w:r>
      <w:r w:rsidR="000C0375">
        <w:t>for endring fra skråtak til mønetak</w:t>
      </w:r>
      <w:r>
        <w:t>. Endringen ble godkjent samme dag i sak 2023/4631-5, med fritak fra nabovarsling.</w:t>
      </w:r>
    </w:p>
    <w:p w:rsidR="000C0375" w:rsidP="005E48A9" w14:paraId="6189AAE2" w14:textId="644E02E4">
      <w:r>
        <w:t xml:space="preserve">Naboene i </w:t>
      </w:r>
      <w:r>
        <w:t>Hauanvegen</w:t>
      </w:r>
      <w:r>
        <w:t xml:space="preserve"> 28</w:t>
      </w:r>
      <w:r w:rsidR="00542CB3">
        <w:t>B</w:t>
      </w:r>
      <w:r>
        <w:t xml:space="preserve"> tok kontakt med saksbehandler 14.05.2026 for etterlysning av nabovarsel for godkjenningen. Det kom da også frem for saksbehandler at naboene i </w:t>
      </w:r>
      <w:r>
        <w:t>Hauanvegen</w:t>
      </w:r>
      <w:r>
        <w:t xml:space="preserve"> 28</w:t>
      </w:r>
      <w:r w:rsidR="00542CB3">
        <w:t>B</w:t>
      </w:r>
      <w:r>
        <w:t xml:space="preserve"> hadde vært i dialog med en annen saksbehandler samme dag som endringsmeldingen ble innsendt og godkjent.  </w:t>
      </w:r>
      <w:r w:rsidR="006F6AD9">
        <w:t>Det kom også frem at tiltaket hadde endret størrelse</w:t>
      </w:r>
      <w:r>
        <w:t>.</w:t>
      </w:r>
    </w:p>
    <w:p w:rsidR="001B63F9" w:rsidP="005E48A9" w14:paraId="10ECAFA2" w14:textId="15A41561">
      <w:r>
        <w:t xml:space="preserve">I dialog med tiltakshaver og naboene, ble vi til slutt enige om å oppheve </w:t>
      </w:r>
      <w:r w:rsidR="00542CB3">
        <w:t>opprinnelig endringstillatelse gitt den 12.05.2026</w:t>
      </w:r>
      <w:r>
        <w:t>, da tiltaket</w:t>
      </w:r>
      <w:r w:rsidR="00542CB3">
        <w:t>s</w:t>
      </w:r>
      <w:r w:rsidR="006F6AD9">
        <w:t xml:space="preserve"> endring av størrelse også skulle vært omsøkt, samt at det</w:t>
      </w:r>
      <w:r>
        <w:t xml:space="preserve"> ikke skulle blitt fritatt fra nabovarsel i første omgang. </w:t>
      </w:r>
      <w:r w:rsidR="00A36E6B">
        <w:br/>
      </w:r>
      <w:r w:rsidR="00A36E6B">
        <w:br/>
      </w:r>
      <w:r>
        <w:t xml:space="preserve">Det ble omsøkt </w:t>
      </w:r>
      <w:r w:rsidR="002100B7">
        <w:t>endringer av både tak og størrelse</w:t>
      </w:r>
      <w:r>
        <w:t xml:space="preserve"> på nytt 06.07.2026 med vedlagt nabovarsling</w:t>
      </w:r>
      <w:r>
        <w:t xml:space="preserve"> og nabomerknader</w:t>
      </w:r>
      <w:r>
        <w:t xml:space="preserve">, samtykke fra avstand </w:t>
      </w:r>
      <w:r w:rsidR="002100B7">
        <w:t>til nabogrense</w:t>
      </w:r>
      <w:r>
        <w:t xml:space="preserve"> og samtykke fra naboene på </w:t>
      </w:r>
      <w:r>
        <w:t>Hauanvegen</w:t>
      </w:r>
      <w:r>
        <w:t xml:space="preserve"> 28</w:t>
      </w:r>
      <w:r w:rsidR="00542CB3">
        <w:t>B</w:t>
      </w:r>
      <w:r>
        <w:t xml:space="preserve"> for økt areal</w:t>
      </w:r>
      <w:r w:rsidR="002100B7">
        <w:t xml:space="preserve">. </w:t>
      </w:r>
    </w:p>
    <w:p w:rsidR="00895A32" w:rsidP="005E48A9" w14:paraId="0D05BD2F" w14:textId="6959B4E4">
      <w:r>
        <w:t xml:space="preserve">Det ble gitt tillatelse til endring av størrelse og tak, samt oppheving av første endringsvedtak den 19.08.2026 i sak 2023/4631-18. Nabomerknadene ble også behandlet i denne tillatelsen. </w:t>
      </w:r>
      <w:r w:rsidR="00A36E6B">
        <w:br/>
      </w:r>
      <w:r w:rsidR="00A36E6B">
        <w:br/>
      </w:r>
      <w:r w:rsidR="002100B7">
        <w:t xml:space="preserve">Naboene i </w:t>
      </w:r>
      <w:r w:rsidR="002100B7">
        <w:t>Hauanvegen</w:t>
      </w:r>
      <w:r w:rsidR="002100B7">
        <w:t xml:space="preserve"> </w:t>
      </w:r>
      <w:r w:rsidR="00F055B9">
        <w:t>2</w:t>
      </w:r>
      <w:r w:rsidR="002100B7">
        <w:t>8B</w:t>
      </w:r>
      <w:r w:rsidR="008C286A">
        <w:t>, heretter kalt klager</w:t>
      </w:r>
      <w:r>
        <w:t xml:space="preserve"> 1</w:t>
      </w:r>
      <w:r w:rsidR="008C286A">
        <w:t>,</w:t>
      </w:r>
      <w:r w:rsidR="002100B7">
        <w:t xml:space="preserve"> klaget på vedtaket 26.08.2026.</w:t>
      </w:r>
      <w:r w:rsidR="00B67740">
        <w:t xml:space="preserve"> Tiltakshaver ble orientert om klagen 31.08.2026, og kom med sitt tilsvar til klagen 02.09.2026. </w:t>
      </w:r>
    </w:p>
    <w:p w:rsidR="00C55068" w:rsidP="005E48A9" w14:paraId="56955487" w14:textId="30C3DCF1">
      <w:r>
        <w:t xml:space="preserve">Naboene i </w:t>
      </w:r>
      <w:r>
        <w:t>Hauanvegen</w:t>
      </w:r>
      <w:r>
        <w:t xml:space="preserve"> 18B, heretter kalt klager 2, klaget på vedtaket 07.09.2026. Tiltakshaver ble orientert om klagen 08.09.2026, og kom med sitt tilsvar til klagen samme dag. </w:t>
      </w:r>
    </w:p>
    <w:p w:rsidR="003251BF" w:rsidP="005E48A9" w14:paraId="443495DF" w14:textId="0B315CD8">
      <w:r>
        <w:t xml:space="preserve">Naboene i </w:t>
      </w:r>
      <w:r>
        <w:t>Hauanvegen</w:t>
      </w:r>
      <w:r>
        <w:t xml:space="preserve"> 26A, heretter kalt klager 3, klaget på vedtaket 08.09.2026. </w:t>
      </w:r>
      <w:r w:rsidR="00542CB3">
        <w:t xml:space="preserve">Da den siste klagen omhandler forhold som tiltakshaver allerede har kommenter i tidligere tilsvar, ble tiltakshaver kun orientert om klagen. </w:t>
      </w:r>
    </w:p>
    <w:p w:rsidR="00F055B9" w:rsidP="005E48A9" w14:paraId="7472DCC5" w14:textId="0E47917F">
      <w:r>
        <w:t xml:space="preserve">Naboene i </w:t>
      </w:r>
      <w:r>
        <w:t>Hauanvegen</w:t>
      </w:r>
      <w:r>
        <w:t xml:space="preserve"> 26B og </w:t>
      </w:r>
      <w:r>
        <w:t>Hauanvegen</w:t>
      </w:r>
      <w:r>
        <w:t xml:space="preserve"> 30B kom med en uttalelse om nabovarselet 09.09.2026 på </w:t>
      </w:r>
      <w:r w:rsidR="00542CB3">
        <w:t>e-post</w:t>
      </w:r>
      <w:r>
        <w:t>.</w:t>
      </w:r>
      <w:r w:rsidR="00542CB3">
        <w:t xml:space="preserve"> Kommunedirektøren har vurdert at disse uttalelsene ikke er en formell klage på vedtaket. Disse vil derfor ikke bli kommentert eller behandlet i det følgende. </w:t>
      </w:r>
      <w:r>
        <w:t xml:space="preserve"> </w:t>
      </w:r>
    </w:p>
    <w:p w:rsidR="000F4CED" w:rsidP="005E48A9" w14:paraId="26224BDD" w14:textId="240F998A">
      <w:r>
        <w:t xml:space="preserve">Klagene og deres tilsvar ligger vedlagt i sin helhet. </w:t>
      </w:r>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0CC520F3" w14:textId="5F599EC2">
      <w:pPr>
        <w:pStyle w:val="Heading2"/>
      </w:pPr>
      <w:r w:rsidRPr="00DA6852">
        <w:t>Vurdering</w:t>
      </w:r>
    </w:p>
    <w:p w:rsidR="00B67740" w:rsidP="00DE25E4" w14:paraId="018DBE95" w14:textId="4C4A0211">
      <w:r w:rsidRPr="00B67740">
        <w:t xml:space="preserve">Eiendommen er omfattet av kommuneplanens arealdel for Fræna 2015-2025, </w:t>
      </w:r>
      <w:r w:rsidRPr="00B67740">
        <w:t>planident</w:t>
      </w:r>
      <w:r w:rsidRPr="00B67740">
        <w:t xml:space="preserve"> 201320. Eiendommen er vist som bebyggelse og anlegg. </w:t>
      </w:r>
    </w:p>
    <w:p w:rsidR="008C286A" w:rsidP="00DE25E4" w14:paraId="483B9335" w14:textId="1DC22024">
      <w:r w:rsidRPr="00B67740">
        <w:t xml:space="preserve">Eiendommen er også omfattet av reguleringsplan Eidem vest II, </w:t>
      </w:r>
      <w:r w:rsidRPr="00B67740">
        <w:t>planident</w:t>
      </w:r>
      <w:r w:rsidRPr="00B67740">
        <w:t xml:space="preserve"> 91090. Eiendommen er regulert til frittliggende småhus bebyggelse.</w:t>
      </w:r>
    </w:p>
    <w:p w:rsidR="008733D9" w:rsidP="00DE25E4" w14:paraId="63B30B58" w14:textId="7F72BF63">
      <w:r>
        <w:t xml:space="preserve">Endringene er vurdert å være i tråd med gjeldende arealformål. </w:t>
      </w:r>
    </w:p>
    <w:p w:rsidR="007A5B78" w:rsidP="00DE25E4" w14:paraId="098B5EB0" w14:textId="7BFBBB77">
      <w:r w:rsidRPr="008733D9">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1014730</wp:posOffset>
            </wp:positionV>
            <wp:extent cx="3009900" cy="1524000"/>
            <wp:effectExtent l="0" t="0" r="0" b="0"/>
            <wp:wrapTight wrapText="bothSides">
              <wp:wrapPolygon>
                <wp:start x="0" y="0"/>
                <wp:lineTo x="0" y="21330"/>
                <wp:lineTo x="21463" y="21330"/>
                <wp:lineTo x="21463" y="0"/>
                <wp:lineTo x="0" y="0"/>
              </wp:wrapPolygon>
            </wp:wrapTight>
            <wp:docPr id="9613023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02376" name=""/>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3009900" cy="1524000"/>
                    </a:xfrm>
                    <a:prstGeom prst="rect">
                      <a:avLst/>
                    </a:prstGeom>
                  </pic:spPr>
                </pic:pic>
              </a:graphicData>
            </a:graphic>
            <wp14:sizeRelH relativeFrom="margin">
              <wp14:pctWidth>0</wp14:pctWidth>
            </wp14:sizeRelH>
            <wp14:sizeRelV relativeFrom="margin">
              <wp14:pctHeight>0</wp14:pctHeight>
            </wp14:sizeRelV>
          </wp:anchor>
        </w:drawing>
      </w:r>
      <w:r w:rsidRPr="008733D9">
        <w:rPr>
          <w:noProof/>
        </w:rPr>
        <w:drawing>
          <wp:anchor distT="0" distB="0" distL="114300" distR="114300" simplePos="0" relativeHeight="251658240" behindDoc="1" locked="0" layoutInCell="1" allowOverlap="1">
            <wp:simplePos x="0" y="0"/>
            <wp:positionH relativeFrom="column">
              <wp:posOffset>2929255</wp:posOffset>
            </wp:positionH>
            <wp:positionV relativeFrom="paragraph">
              <wp:posOffset>998855</wp:posOffset>
            </wp:positionV>
            <wp:extent cx="2971800" cy="1568450"/>
            <wp:effectExtent l="0" t="0" r="0" b="0"/>
            <wp:wrapTight wrapText="bothSides">
              <wp:wrapPolygon>
                <wp:start x="0" y="0"/>
                <wp:lineTo x="0" y="21250"/>
                <wp:lineTo x="21462" y="21250"/>
                <wp:lineTo x="21462" y="0"/>
                <wp:lineTo x="0" y="0"/>
              </wp:wrapPolygon>
            </wp:wrapTight>
            <wp:docPr id="193725755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57550" name=""/>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2971800" cy="1568450"/>
                    </a:xfrm>
                    <a:prstGeom prst="rect">
                      <a:avLst/>
                    </a:prstGeom>
                  </pic:spPr>
                </pic:pic>
              </a:graphicData>
            </a:graphic>
          </wp:anchor>
        </w:drawing>
      </w:r>
      <w:r>
        <w:t xml:space="preserve">Det er søkt om endring av tak og størrelse på tilbygg til en tomannsbolig. Tillatelsen til tilbygget ble gitt i 2023. </w:t>
      </w:r>
      <w:r>
        <w:t xml:space="preserve">Endringene innebærer endring av størrelse på tilbygget fra 15,2 m2 til 18,7 m2 og endring av taktype. Endringene av tak er vist på utklipp under. Endringene av taktype medfører også en endring på høyden av tilbygget. </w:t>
      </w:r>
    </w:p>
    <w:p w:rsidR="008733D9" w:rsidP="00DE25E4" w14:paraId="2311DA50" w14:textId="7B29B6A7">
      <w:r w:rsidRPr="008733D9">
        <w:rPr>
          <w:sz w:val="18"/>
          <w:szCs w:val="20"/>
        </w:rPr>
        <w:t>Opprinnelig tak</w:t>
      </w:r>
      <w:r w:rsidRPr="008733D9">
        <w:rPr>
          <w:sz w:val="18"/>
          <w:szCs w:val="20"/>
        </w:rPr>
        <w:tab/>
      </w:r>
      <w:r>
        <w:tab/>
      </w:r>
      <w:r>
        <w:tab/>
      </w:r>
      <w:r>
        <w:tab/>
      </w:r>
      <w:r>
        <w:tab/>
      </w:r>
      <w:r>
        <w:tab/>
      </w:r>
      <w:r w:rsidRPr="008733D9">
        <w:rPr>
          <w:sz w:val="18"/>
          <w:szCs w:val="20"/>
        </w:rPr>
        <w:t>Nytt tak</w:t>
      </w:r>
    </w:p>
    <w:p w:rsidR="00AF18D1" w:rsidP="00DE25E4" w14:paraId="67A5ED89" w14:textId="209E9E20"/>
    <w:p w:rsidR="00B360FE" w:rsidP="00B360FE" w14:paraId="2F1CE4A6" w14:textId="77777777">
      <w:pPr>
        <w:spacing w:before="240"/>
      </w:pPr>
      <w:r>
        <w:t xml:space="preserve">I endringstillatelsen er endringene av tak vurdert. Det vises til vurderingen gjort der: </w:t>
      </w:r>
    </w:p>
    <w:p w:rsidR="00D20911" w:rsidRPr="00B360FE" w:rsidP="00B360FE" w14:paraId="59791640" w14:textId="6A6E937C">
      <w:r>
        <w:br/>
      </w:r>
      <w:r w:rsidRPr="00077816">
        <w:rPr>
          <w:i/>
          <w:iCs/>
        </w:rPr>
        <w:t xml:space="preserve">«I reguleringsbestemmelse § 1.1.4 er maksimum mønehøyde satt til 9 meter. </w:t>
      </w:r>
    </w:p>
    <w:p w:rsidR="00D20911" w:rsidRPr="00077816" w:rsidP="00D20911" w14:paraId="15578BDD" w14:textId="77777777">
      <w:pPr>
        <w:rPr>
          <w:i/>
          <w:iCs/>
        </w:rPr>
      </w:pPr>
      <w:r w:rsidRPr="00077816">
        <w:rPr>
          <w:i/>
          <w:iCs/>
        </w:rPr>
        <w:t xml:space="preserve">Tiltaket ligger godt innenfor dette, og vurderes å være i tråd med planbestemmelsene. Det står også videre i reguleringsplanens § 1.1.2 at alle boliger bør ha mønetak.  </w:t>
      </w:r>
    </w:p>
    <w:p w:rsidR="00D20911" w:rsidRPr="00077816" w:rsidP="00B360FE" w14:paraId="5A9D655D" w14:textId="77777777">
      <w:pPr>
        <w:spacing w:after="0"/>
        <w:rPr>
          <w:i/>
          <w:iCs/>
        </w:rPr>
      </w:pPr>
      <w:r w:rsidRPr="00077816">
        <w:rPr>
          <w:i/>
          <w:iCs/>
        </w:rPr>
        <w:t xml:space="preserve">Tiltaket er trukket 1 meter fra seksjoneringsgrensen fra fasadelivet. Det er stilt spørsmål </w:t>
      </w:r>
      <w:r w:rsidRPr="00077816">
        <w:rPr>
          <w:i/>
          <w:iCs/>
        </w:rPr>
        <w:t>vedrørende</w:t>
      </w:r>
      <w:r w:rsidRPr="00077816">
        <w:rPr>
          <w:i/>
          <w:iCs/>
        </w:rPr>
        <w:t xml:space="preserve"> </w:t>
      </w:r>
      <w:r w:rsidRPr="00077816">
        <w:rPr>
          <w:i/>
          <w:iCs/>
        </w:rPr>
        <w:t>takutstikket</w:t>
      </w:r>
      <w:r w:rsidRPr="00077816">
        <w:rPr>
          <w:i/>
          <w:iCs/>
        </w:rPr>
        <w:t xml:space="preserve">, da dette stikker ca. 30 cm ut over seksjoneringsgrensen. Ifølge lovverket, vil avstanden til nabogrense gå fra </w:t>
      </w:r>
    </w:p>
    <w:p w:rsidR="00B360FE" w:rsidRPr="00077816" w:rsidP="00B360FE" w14:paraId="5031C418" w14:textId="203CAE34">
      <w:pPr>
        <w:rPr>
          <w:i/>
          <w:iCs/>
        </w:rPr>
      </w:pPr>
      <w:r w:rsidRPr="00077816">
        <w:rPr>
          <w:i/>
          <w:iCs/>
        </w:rPr>
        <w:t xml:space="preserve">fasadelivet. Viser til Byggesaksforskriftene § 6.3. Tiltaket er dermed i tråd med bestemmelsene. </w:t>
      </w:r>
    </w:p>
    <w:p w:rsidR="00D20911" w:rsidRPr="00077816" w:rsidP="00D20911" w14:paraId="2619ACEA" w14:textId="77777777">
      <w:pPr>
        <w:rPr>
          <w:i/>
          <w:iCs/>
        </w:rPr>
      </w:pPr>
      <w:r w:rsidRPr="00077816">
        <w:rPr>
          <w:i/>
          <w:iCs/>
        </w:rPr>
        <w:t xml:space="preserve">Viser til </w:t>
      </w:r>
      <w:r w:rsidRPr="00077816">
        <w:rPr>
          <w:i/>
          <w:iCs/>
        </w:rPr>
        <w:t>pbl</w:t>
      </w:r>
      <w:r w:rsidRPr="00077816">
        <w:rPr>
          <w:i/>
          <w:iCs/>
        </w:rPr>
        <w:t xml:space="preserve"> § 21-4 første ledd som sier: «Kommunen skal gi tillatelse dersom tiltaket ikke er i strid med bestemmelser gitt i eller i </w:t>
      </w:r>
      <w:r w:rsidRPr="00077816">
        <w:rPr>
          <w:i/>
          <w:iCs/>
        </w:rPr>
        <w:t>medhold av</w:t>
      </w:r>
      <w:r w:rsidRPr="00077816">
        <w:rPr>
          <w:i/>
          <w:iCs/>
        </w:rPr>
        <w:t xml:space="preserve"> loven.» </w:t>
      </w:r>
    </w:p>
    <w:p w:rsidR="00D20911" w:rsidRPr="005332BB" w:rsidP="00D20911" w14:paraId="46E90D5F" w14:textId="044E14A7">
      <w:pPr>
        <w:rPr>
          <w:i/>
          <w:iCs/>
        </w:rPr>
      </w:pPr>
      <w:r w:rsidRPr="00077816">
        <w:rPr>
          <w:i/>
          <w:iCs/>
        </w:rPr>
        <w:t>Etter en gjennomgang i lover og bestemmelser, finner vi ingen grunnlag for å kunne gi avslag på en ny endringsmelding av taket, da taket er i tråd med plan og lov.»</w:t>
      </w:r>
    </w:p>
    <w:p w:rsidR="005332BB" w:rsidP="005332BB" w14:paraId="380C3BC7" w14:textId="41CF0158">
      <w:r>
        <w:br/>
        <w:t xml:space="preserve">Det ble også informert om at endringen på størrelsen krevde et samtykke fra naboene i </w:t>
      </w:r>
      <w:r>
        <w:t>Hauanvegen</w:t>
      </w:r>
      <w:r>
        <w:t xml:space="preserve"> 48B. Bakgrunnen for dette er at i </w:t>
      </w:r>
      <w:r w:rsidRPr="002100B7">
        <w:t xml:space="preserve">reguleringsplanen § 1.1.5 </w:t>
      </w:r>
      <w:r>
        <w:t xml:space="preserve">er det </w:t>
      </w:r>
      <w:r w:rsidRPr="002100B7">
        <w:t>satt en maksimal bebyggelse på 30%. Det vil si at tomta, som er 827 m2, kan ha et bebygd areal på 248,1 m2</w:t>
      </w:r>
      <w:r>
        <w:t xml:space="preserve"> uavhengig av hvem som bygger ut arealet. Det krever derfor at både </w:t>
      </w:r>
      <w:r>
        <w:t>Hauanvegen</w:t>
      </w:r>
      <w:r>
        <w:t xml:space="preserve"> 48 A og B gir hverandre samtykke uansett hva som skal bygges, da hvert kvadrat gjør at grensen gradvis nærmer seg. </w:t>
      </w:r>
      <w:r>
        <w:br/>
      </w:r>
      <w:r>
        <w:br/>
        <w:t xml:space="preserve">Det kom da frem fra tiltakshaver at naboene i </w:t>
      </w:r>
      <w:r>
        <w:t>Hauanvegen</w:t>
      </w:r>
      <w:r>
        <w:t xml:space="preserve"> 48B har oppført et </w:t>
      </w:r>
      <w:r>
        <w:t>utehus</w:t>
      </w:r>
      <w:r>
        <w:t xml:space="preserve"> på ca. 10 m2. Dette tiltaket er unntatt søknadsplikt, men på bakgrunn av reguleringsplanens begrensning på 30% må også dette tiltaket </w:t>
      </w:r>
      <w:r w:rsidR="00B360FE">
        <w:t>regnes inn i den totale utnyttelsen av tomta</w:t>
      </w:r>
      <w:r>
        <w:t xml:space="preserve">. </w:t>
      </w:r>
    </w:p>
    <w:p w:rsidR="00D20911" w:rsidP="00D20911" w14:paraId="219FA664" w14:textId="3D7361B7">
      <w:r>
        <w:t xml:space="preserve">Tiltakshaver og naboene i </w:t>
      </w:r>
      <w:r>
        <w:t>Hauanvegen</w:t>
      </w:r>
      <w:r>
        <w:t xml:space="preserve"> 48 B ga gjensidig samtykke til hverandre. </w:t>
      </w:r>
    </w:p>
    <w:p w:rsidR="005332BB" w:rsidP="00D20911" w14:paraId="72626E47" w14:textId="0E786DAB">
      <w:r>
        <w:t xml:space="preserve">Tiltaket krevde også samtykke fra </w:t>
      </w:r>
      <w:r>
        <w:t xml:space="preserve">eiendom 42/168 og 42/170 for at tiltaket ville komme nærmere nabogrensen enn fire meter. Dette samtykket ble gitt fra begge eiendommene. </w:t>
      </w:r>
    </w:p>
    <w:p w:rsidR="005332BB" w:rsidP="00DE25E4" w14:paraId="11DDD88D" w14:textId="3D13F7D6">
      <w:r>
        <w:t>Saken hadde dermed alle nødvendige, privatrettslige samtykker, og var ellers i tråd med regelverket og kunne dermed godkjennes.</w:t>
      </w:r>
    </w:p>
    <w:p w:rsidR="005332BB" w:rsidP="00DE25E4" w14:paraId="02217261" w14:textId="4217A7DB">
      <w:r>
        <w:t xml:space="preserve">Det har kommet inn til sammen 3 klager fra 3 forskjellige naboer. </w:t>
      </w:r>
      <w:r w:rsidR="00C20183">
        <w:t xml:space="preserve">Siden klagene omhandler samme sak, vil klagene bli vurdert samlet. </w:t>
      </w:r>
    </w:p>
    <w:p w:rsidR="00D20911" w:rsidRPr="00B360FE" w:rsidP="00DE25E4" w14:paraId="2CE8DCE6" w14:textId="208F519B">
      <w:r w:rsidRPr="00D20911">
        <w:t>Punktene i klagene som gjelder forholdene rundt den opprinnelige tillatelsen til tilbygget fra 2023 vil ikke bli kommentert, da det er forhold som går utenfor denne saken. Det samme gjelder den første endringstillatelsen som senere ble opphevet. Siden den er opphevet og behandlet på nytt vil det som gjelder den første endringstillatelsen ikke være aktuelt her.</w:t>
      </w:r>
    </w:p>
    <w:p w:rsidR="008C286A" w:rsidRPr="00D96D0F" w:rsidP="00DE25E4" w14:paraId="456D18CE" w14:textId="699D1DDC">
      <w:pPr>
        <w:rPr>
          <w:u w:val="single"/>
        </w:rPr>
      </w:pPr>
      <w:r>
        <w:rPr>
          <w:u w:val="single"/>
        </w:rPr>
        <w:t>O</w:t>
      </w:r>
      <w:r w:rsidRPr="00D96D0F">
        <w:rPr>
          <w:u w:val="single"/>
        </w:rPr>
        <w:t xml:space="preserve">ppstart før vedtatt tillatelse </w:t>
      </w:r>
    </w:p>
    <w:p w:rsidR="00912913" w:rsidP="00DE25E4" w14:paraId="6A290C01" w14:textId="353A6101">
      <w:r>
        <w:t>Klager</w:t>
      </w:r>
      <w:r w:rsidR="00C55068">
        <w:t>ne</w:t>
      </w:r>
      <w:r>
        <w:t xml:space="preserve"> påpeker i sine klager at tiltaket ble bygd før endringene var godkjent. Klager 1 siterer avsnitt fra tillatelsen i sak 2023/4631-2 </w:t>
      </w:r>
      <w:r w:rsidR="00757FA2">
        <w:t xml:space="preserve">om at tiltak må gjennomføres i henhold til den tillatelsen som er gitt, og at endringer må omsøkes og være godkjent før den gjennomføres. </w:t>
      </w:r>
    </w:p>
    <w:p w:rsidR="00B360FE" w:rsidP="00DE25E4" w14:paraId="74570F8B" w14:textId="0200A0D3">
      <w:r>
        <w:t xml:space="preserve">Klager 2 påpeker at kommunen ikke hadde visst om endringene uten at naboene meldte fra til kommunen og mener tiltakshaver ikke snakker sant når hun skriver at lovverket er fulgt til punkt og prikke i sitt svar til nabomerknadene. </w:t>
      </w:r>
    </w:p>
    <w:p w:rsidR="00FB5D54" w:rsidP="00FB5D54" w14:paraId="107DF370" w14:textId="77777777">
      <w:pPr>
        <w:spacing w:before="240"/>
      </w:pPr>
      <w:r>
        <w:t>Endringene ble utført før endringstillatelse forelå. Det ble dermed søkt etterhåndsgodkjenning av endringene. At det startes opp før tillatelse foreligger er ikke uvanlig</w:t>
      </w:r>
      <w:r w:rsidR="00D20911">
        <w:t>, og vil være en risiko for tiltakshaver</w:t>
      </w:r>
      <w:r>
        <w:t xml:space="preserve">. </w:t>
      </w:r>
      <w:r>
        <w:t>Når tiltaket nå er søkt om og godkjent, vil det ikke være grunn til å kommentere dette nærmere.</w:t>
      </w:r>
    </w:p>
    <w:p w:rsidR="00D96D0F" w:rsidP="00DE25E4" w14:paraId="149AFF44" w14:textId="77777777">
      <w:r w:rsidRPr="00D96D0F">
        <w:rPr>
          <w:u w:val="single"/>
        </w:rPr>
        <w:t xml:space="preserve">Forskjellsbehandling </w:t>
      </w:r>
    </w:p>
    <w:p w:rsidR="00C55068" w:rsidP="00DE25E4" w14:paraId="38E656B5" w14:textId="266396A0">
      <w:r>
        <w:t>Klager</w:t>
      </w:r>
      <w:r w:rsidR="003E1271">
        <w:t xml:space="preserve"> 1 sitt </w:t>
      </w:r>
      <w:r>
        <w:t xml:space="preserve">andre </w:t>
      </w:r>
      <w:r w:rsidR="00825539">
        <w:t xml:space="preserve">og tredje punkt flyter noe inn i hverandre, og </w:t>
      </w:r>
      <w:r>
        <w:t>omhandler kommunens nøytralitet til partene</w:t>
      </w:r>
      <w:r w:rsidR="00825539">
        <w:t>, og påpeker spesielt vurderingene av nabovarslene</w:t>
      </w:r>
      <w:r>
        <w:t xml:space="preserve">. De </w:t>
      </w:r>
      <w:r w:rsidR="00BD0432">
        <w:t>opplever</w:t>
      </w:r>
      <w:r>
        <w:t xml:space="preserve"> saksbehandlingen</w:t>
      </w:r>
      <w:r w:rsidR="00BD0432">
        <w:t xml:space="preserve"> som</w:t>
      </w:r>
      <w:r>
        <w:t xml:space="preserve"> ensidig og lite nøytral. </w:t>
      </w:r>
    </w:p>
    <w:p w:rsidR="00C55068" w:rsidP="00F002DC" w14:paraId="49503269" w14:textId="7EE62DC0">
      <w:r>
        <w:t>Klager</w:t>
      </w:r>
      <w:r w:rsidR="003E1271">
        <w:t xml:space="preserve"> 1</w:t>
      </w:r>
      <w:r>
        <w:t xml:space="preserve"> skrives at det oppfattes som svært kritisk at nabomerknadene i tillatelsen i sak 2023/4631-18 blir </w:t>
      </w:r>
      <w:r w:rsidR="00BD0432">
        <w:t>svart ut</w:t>
      </w:r>
      <w:r>
        <w:t xml:space="preserve"> av tiltakshaver, og mener at dette ikke skal overlates til tiltakshaver. </w:t>
      </w:r>
      <w:r w:rsidR="00825539">
        <w:t xml:space="preserve">De skriver så at naboene ikke fikk anledning til å ivareta sine interesser. </w:t>
      </w:r>
    </w:p>
    <w:p w:rsidR="00C55068" w:rsidP="00F002DC" w14:paraId="24AACD2C" w14:textId="77777777">
      <w:r>
        <w:t>Klager 3 påpeker også at nabomerknadene i tillatelsen oppfattes som ensidig fremstilt.</w:t>
      </w:r>
    </w:p>
    <w:p w:rsidR="005332BB" w:rsidP="00F002DC" w14:paraId="6C0C13E1" w14:textId="4C6AB48D">
      <w:r>
        <w:t xml:space="preserve">Alle klagerne påpeker mønetaket. Det påpekes spesielt at tiltakshavers objektive uttalelse </w:t>
      </w:r>
      <w:r>
        <w:t>vedrørende</w:t>
      </w:r>
      <w:r>
        <w:t xml:space="preserve"> sol og lysforholdene ikke burde vektlegges, og at høyden på bygget er problemet da det forårsaker lys-</w:t>
      </w:r>
      <w:r w:rsidR="00FB5D54">
        <w:t xml:space="preserve">, </w:t>
      </w:r>
      <w:r>
        <w:t>sol</w:t>
      </w:r>
      <w:r w:rsidR="00FB5D54">
        <w:t>-</w:t>
      </w:r>
      <w:r>
        <w:t xml:space="preserve"> og utsiktstap. </w:t>
      </w:r>
    </w:p>
    <w:p w:rsidR="00A34A2E" w:rsidRPr="00D20911" w:rsidP="00F002DC" w14:paraId="4DB07849" w14:textId="77777777">
      <w:pPr>
        <w:rPr>
          <w:color w:val="000000" w:themeColor="text1"/>
        </w:rPr>
      </w:pPr>
      <w:r w:rsidRPr="00D20911">
        <w:rPr>
          <w:color w:val="000000" w:themeColor="text1"/>
        </w:rPr>
        <w:t xml:space="preserve">Det følger av plan- og bygningsloven § 21-2 fjerde ledd at nabomerknadene skal svares ut av tiltakshaver. Videre skal kommunen gjøre en vurdering av sidene i merknadene og om det er grunnlag for å ta de til følge eller ikke. </w:t>
      </w:r>
    </w:p>
    <w:p w:rsidR="00D20911" w:rsidRPr="00D20911" w:rsidP="00F002DC" w14:paraId="0400BECC" w14:textId="349D559F">
      <w:pPr>
        <w:rPr>
          <w:color w:val="000000" w:themeColor="text1"/>
        </w:rPr>
      </w:pPr>
      <w:r w:rsidRPr="00D20911">
        <w:rPr>
          <w:color w:val="000000" w:themeColor="text1"/>
        </w:rPr>
        <w:t>Nabomerknadene i denne saken går</w:t>
      </w:r>
      <w:r w:rsidRPr="00D20911" w:rsidR="00A34A2E">
        <w:rPr>
          <w:color w:val="000000" w:themeColor="text1"/>
        </w:rPr>
        <w:t xml:space="preserve"> i stor grad ut på sakens historikk og tidligere vedtak. Videre er det kommentert tap av utsikt, sol og lys. Nabomerknadene er </w:t>
      </w:r>
      <w:r w:rsidRPr="00D20911" w:rsidR="00A34A2E">
        <w:rPr>
          <w:color w:val="000000" w:themeColor="text1"/>
        </w:rPr>
        <w:t xml:space="preserve">vurdert, og kommunedirektøren har kommet frem til at det ikke er grunnlag for å gjøre endringer på vedtaket på bakgrunn av nabomerknadene. Forholdene rundt tap av utsikt, sol og lys vil være en påregnelig konsekvens ved det å bo i et boligfelt. Noe forringelse av utsikt og solforhold må derfor forventes. </w:t>
      </w:r>
    </w:p>
    <w:p w:rsidR="00825539" w:rsidRPr="00FB5D54" w:rsidP="00DE25E4" w14:paraId="02F02FE2" w14:textId="12EA8AC8">
      <w:pPr>
        <w:rPr>
          <w:color w:val="000000" w:themeColor="text1"/>
        </w:rPr>
      </w:pPr>
      <w:r w:rsidRPr="00D20911">
        <w:rPr>
          <w:color w:val="000000" w:themeColor="text1"/>
        </w:rPr>
        <w:t xml:space="preserve">Samtidig skal byggesakskontoret kun vurdere saken opp mot plan- og bygningsloven. Kommunedirektøren har vurdert saken opp mot gjeldende plan og </w:t>
      </w:r>
      <w:r w:rsidRPr="00D20911" w:rsidR="00021959">
        <w:rPr>
          <w:color w:val="000000" w:themeColor="text1"/>
        </w:rPr>
        <w:t xml:space="preserve">lov, og har funnet at det ikke er grunnlag for å gi avslag i saken. Dersom vedtaket får den konsekvens at det forringer verdien av naboeiendommen knyttet til utsikt og solforhold, er det et privatrettslig spørsmål som ikke reguleres gjennom plan- og bygningsloven. </w:t>
      </w:r>
      <w:r w:rsidRPr="00D20911">
        <w:rPr>
          <w:color w:val="000000" w:themeColor="text1"/>
        </w:rPr>
        <w:t xml:space="preserve">Det at nabomerknadene ikke blir tatt til følge med den konsekvens at vedtaket endres er det </w:t>
      </w:r>
      <w:r w:rsidRPr="00D20911" w:rsidR="00F1002F">
        <w:rPr>
          <w:color w:val="000000" w:themeColor="text1"/>
        </w:rPr>
        <w:t xml:space="preserve">likevel </w:t>
      </w:r>
      <w:r w:rsidRPr="00D20911">
        <w:rPr>
          <w:color w:val="000000" w:themeColor="text1"/>
        </w:rPr>
        <w:t xml:space="preserve">rom for å være uenig i. </w:t>
      </w:r>
    </w:p>
    <w:p w:rsidR="00D96D0F" w:rsidRPr="00D96D0F" w:rsidP="00DE25E4" w14:paraId="53699B83" w14:textId="77777777">
      <w:pPr>
        <w:rPr>
          <w:u w:val="single"/>
        </w:rPr>
      </w:pPr>
      <w:r>
        <w:rPr>
          <w:u w:val="single"/>
        </w:rPr>
        <w:t>Press til s</w:t>
      </w:r>
      <w:r w:rsidRPr="00D96D0F">
        <w:rPr>
          <w:u w:val="single"/>
        </w:rPr>
        <w:t>amtykke</w:t>
      </w:r>
    </w:p>
    <w:p w:rsidR="00664E4E" w:rsidP="00DE25E4" w14:paraId="3EEC38D6" w14:textId="77777777">
      <w:r>
        <w:t xml:space="preserve">Alle klagerne </w:t>
      </w:r>
      <w:r w:rsidR="00825539">
        <w:t xml:space="preserve">skriver at samtykket ble gitt under urimelig press. </w:t>
      </w:r>
    </w:p>
    <w:p w:rsidR="00664E4E" w:rsidP="00DE25E4" w14:paraId="12012409" w14:textId="19FB189F">
      <w:r>
        <w:t xml:space="preserve">Grunneierne på eiendom 42/318 ble forklart at de er gjensidig avhengig av hverandre når det gjelder utbygging av eiendommen. Dette fordi det i reguleringsplanen er satt en utnyttelsesgrad på 30% som de deler seg </w:t>
      </w:r>
      <w:r w:rsidR="00426A6E">
        <w:t>imellom</w:t>
      </w:r>
      <w:r>
        <w:t xml:space="preserve">. Det vil si at de må være enige og gi samtykke til hverandre om en av de ønsker å bygge ut på sin del. </w:t>
      </w:r>
    </w:p>
    <w:p w:rsidR="000026B0" w:rsidP="00DE25E4" w14:paraId="0F21259F" w14:textId="77777777">
      <w:r>
        <w:t xml:space="preserve">I denne prosessen ble klager 1 i denne </w:t>
      </w:r>
      <w:r>
        <w:t xml:space="preserve">saken forklart at også utbyggingen på deres del av eiendommen må telles med i den totale utnyttelsesgraden av eiendommen. I og med at utnyttelsesgraden på eiendommen er tett opp mot 30% har det blitt gjort en utregning for å kontrollere at de fortsatt er innenfor lovlig utnytting. Da skal all utbygging regnes med, også det som ikke er søknadsplikt. </w:t>
      </w:r>
    </w:p>
    <w:p w:rsidR="00AF18D1" w:rsidP="00DE25E4" w14:paraId="13B66850" w14:textId="4D5382E6">
      <w:r>
        <w:t xml:space="preserve">Klager 1 skriver at kommunen anbefalte å gi gjensidig samtykke. Klager 1 ble gjort oppmerksom på at også deres tiltak vil krever samtykke fra nabo. Det ble videre forklart at om de ønsker å gi samtykke til hverandre er et privatrettslig forhold som de må løse seg imellom. </w:t>
      </w:r>
      <w:r w:rsidR="00426A6E">
        <w:t xml:space="preserve">Kommunen har forsøkt å forklare partene problemstillingen, og har på ingen måte forsøkt å presse noen til å samtykke. Om de ønsker å gi samtykke til hverandre er frivillig. </w:t>
      </w:r>
    </w:p>
    <w:p w:rsidR="00D96D0F" w:rsidRPr="00D96D0F" w:rsidP="00DE25E4" w14:paraId="57CC9097" w14:textId="77777777">
      <w:pPr>
        <w:rPr>
          <w:color w:val="000000" w:themeColor="text1"/>
          <w:u w:val="single"/>
        </w:rPr>
      </w:pPr>
      <w:r w:rsidRPr="00D96D0F">
        <w:rPr>
          <w:color w:val="000000" w:themeColor="text1"/>
          <w:u w:val="single"/>
        </w:rPr>
        <w:t>Presedens</w:t>
      </w:r>
    </w:p>
    <w:p w:rsidR="00AF18D1" w:rsidP="00DE25E4" w14:paraId="5DD3CE4A" w14:textId="77777777">
      <w:pPr>
        <w:rPr>
          <w:color w:val="000000" w:themeColor="text1"/>
        </w:rPr>
      </w:pPr>
      <w:r w:rsidRPr="00AF18D1">
        <w:rPr>
          <w:color w:val="000000" w:themeColor="text1"/>
        </w:rPr>
        <w:t>Klager 2 og 3 er urolig for presedensvirkningen denne tillatelsen gir i forhold til sol-</w:t>
      </w:r>
      <w:r w:rsidR="00D96D0F">
        <w:rPr>
          <w:color w:val="000000" w:themeColor="text1"/>
        </w:rPr>
        <w:t>,</w:t>
      </w:r>
      <w:r w:rsidRPr="00AF18D1">
        <w:rPr>
          <w:color w:val="000000" w:themeColor="text1"/>
        </w:rPr>
        <w:t xml:space="preserve"> lys</w:t>
      </w:r>
      <w:r w:rsidR="00D96D0F">
        <w:rPr>
          <w:color w:val="000000" w:themeColor="text1"/>
        </w:rPr>
        <w:t>- og utsikts</w:t>
      </w:r>
      <w:r w:rsidRPr="00AF18D1">
        <w:rPr>
          <w:color w:val="000000" w:themeColor="text1"/>
        </w:rPr>
        <w:t xml:space="preserve">tap på deres egen tomt, og er redd de kan komme i samme problemstilling som </w:t>
      </w:r>
      <w:r w:rsidRPr="00AF18D1">
        <w:rPr>
          <w:color w:val="000000" w:themeColor="text1"/>
        </w:rPr>
        <w:t>Hauanvegen</w:t>
      </w:r>
      <w:r w:rsidRPr="00AF18D1">
        <w:rPr>
          <w:color w:val="000000" w:themeColor="text1"/>
        </w:rPr>
        <w:t xml:space="preserve"> 28B.</w:t>
      </w:r>
    </w:p>
    <w:p w:rsidR="007519C8" w:rsidP="00DE25E4" w14:paraId="4D71DF4D" w14:textId="110E562E">
      <w:pPr>
        <w:rPr>
          <w:color w:val="000000" w:themeColor="text1"/>
        </w:rPr>
      </w:pPr>
      <w:r>
        <w:rPr>
          <w:color w:val="000000" w:themeColor="text1"/>
        </w:rPr>
        <w:t xml:space="preserve">Dersom det skulle komme en tilsvarende byggesak på noen av naboeiendommene må den vurderes individuelt og uavhengig fra denne saken. Det vil si at denne saken setter ikke noen presedens for fremtidige saker. </w:t>
      </w:r>
      <w:r w:rsidR="00337190">
        <w:rPr>
          <w:color w:val="000000" w:themeColor="text1"/>
        </w:rPr>
        <w:t xml:space="preserve">Som sagt må det til en viss grad kunne </w:t>
      </w:r>
      <w:r w:rsidR="00337190">
        <w:rPr>
          <w:color w:val="000000" w:themeColor="text1"/>
        </w:rPr>
        <w:t>påregnes</w:t>
      </w:r>
      <w:r w:rsidR="00337190">
        <w:rPr>
          <w:color w:val="000000" w:themeColor="text1"/>
        </w:rPr>
        <w:t xml:space="preserve"> at utsikt og solforhold vil kunne påvirkes i et tettbebygd boligfelt ved utbygging. Hvordan det eventuelle tiltaket vil påvirke dette må likevel vurderes fra sak til sak. For de andre tomtene i nabolaget som også er tomannsboliger, vil de også være avhengig av samtykke fra hverandre for å kunne bygge ut. </w:t>
      </w:r>
    </w:p>
    <w:p w:rsidR="00D96D0F" w:rsidRPr="00D96D0F" w:rsidP="00DE25E4" w14:paraId="24907B0B" w14:textId="77777777">
      <w:pPr>
        <w:rPr>
          <w:color w:val="000000" w:themeColor="text1"/>
          <w:u w:val="single"/>
        </w:rPr>
      </w:pPr>
      <w:r w:rsidRPr="00D96D0F">
        <w:rPr>
          <w:color w:val="000000" w:themeColor="text1"/>
          <w:u w:val="single"/>
        </w:rPr>
        <w:t>Nabovarslingen</w:t>
      </w:r>
    </w:p>
    <w:p w:rsidR="00FB5D54" w:rsidP="00FB5D54" w14:paraId="49B22269" w14:textId="77777777">
      <w:pPr>
        <w:spacing w:before="240" w:after="0"/>
        <w:rPr>
          <w:color w:val="000000" w:themeColor="text1"/>
        </w:rPr>
      </w:pPr>
      <w:r>
        <w:rPr>
          <w:color w:val="000000" w:themeColor="text1"/>
        </w:rPr>
        <w:t xml:space="preserve">Klager 2 har også kommentert forholdene rundt nabovarslingen, og påpeker at nabovarslingen har vært for lite presise rundt hva som varsles, samt at det ikke har blitt signert under kvitteringen fra </w:t>
      </w:r>
      <w:r>
        <w:rPr>
          <w:color w:val="000000" w:themeColor="text1"/>
        </w:rPr>
        <w:t>Hauanvegen</w:t>
      </w:r>
      <w:r>
        <w:rPr>
          <w:color w:val="000000" w:themeColor="text1"/>
        </w:rPr>
        <w:t xml:space="preserve"> 18A og 24. </w:t>
      </w:r>
    </w:p>
    <w:p w:rsidR="007519C8" w:rsidP="00FB5D54" w14:paraId="55CD2851" w14:textId="0422E4DA">
      <w:pPr>
        <w:spacing w:before="240"/>
        <w:rPr>
          <w:color w:val="000000" w:themeColor="text1"/>
        </w:rPr>
      </w:pPr>
      <w:r>
        <w:rPr>
          <w:color w:val="000000" w:themeColor="text1"/>
        </w:rPr>
        <w:br/>
        <w:t xml:space="preserve">En nabovarsling innebærer å varsle om et tiltak. </w:t>
      </w:r>
      <w:r>
        <w:rPr>
          <w:color w:val="000000" w:themeColor="text1"/>
        </w:rPr>
        <w:t>Hauanvegen</w:t>
      </w:r>
      <w:r>
        <w:rPr>
          <w:color w:val="000000" w:themeColor="text1"/>
        </w:rPr>
        <w:t xml:space="preserve"> 24 har gitt samtykke til tiltaket, da det kommer nærmere nabogrensen enn 4 meter. I den forbindelse er naturligvis </w:t>
      </w:r>
      <w:r>
        <w:rPr>
          <w:color w:val="000000" w:themeColor="text1"/>
        </w:rPr>
        <w:t>Hauanvegen</w:t>
      </w:r>
      <w:r>
        <w:rPr>
          <w:color w:val="000000" w:themeColor="text1"/>
        </w:rPr>
        <w:t xml:space="preserve"> 24 også </w:t>
      </w:r>
      <w:r w:rsidR="00220D7A">
        <w:rPr>
          <w:color w:val="000000" w:themeColor="text1"/>
        </w:rPr>
        <w:t>godt informert og dermed varslet</w:t>
      </w:r>
      <w:r>
        <w:rPr>
          <w:color w:val="000000" w:themeColor="text1"/>
        </w:rPr>
        <w:t xml:space="preserve">. </w:t>
      </w:r>
    </w:p>
    <w:p w:rsidR="00451E0C" w:rsidP="00DE25E4" w14:paraId="553E5469" w14:textId="6E0CCFAA">
      <w:pPr>
        <w:rPr>
          <w:color w:val="000000" w:themeColor="text1"/>
        </w:rPr>
      </w:pPr>
      <w:r>
        <w:rPr>
          <w:color w:val="000000" w:themeColor="text1"/>
        </w:rPr>
        <w:t xml:space="preserve">Tilgrensede eiendommer skal ifølge loven varsles. På eiendom 42/316 står det en tomannsbolig med adresse </w:t>
      </w:r>
      <w:r>
        <w:rPr>
          <w:color w:val="000000" w:themeColor="text1"/>
        </w:rPr>
        <w:t>Hauanvegen</w:t>
      </w:r>
      <w:r>
        <w:rPr>
          <w:color w:val="000000" w:themeColor="text1"/>
        </w:rPr>
        <w:t xml:space="preserve"> 18A og 18B. </w:t>
      </w:r>
      <w:r>
        <w:rPr>
          <w:color w:val="000000" w:themeColor="text1"/>
        </w:rPr>
        <w:t>Hauanvegen</w:t>
      </w:r>
      <w:r>
        <w:rPr>
          <w:color w:val="000000" w:themeColor="text1"/>
        </w:rPr>
        <w:t xml:space="preserve"> 18B har kvittert ut varselet for eiendom 42/316. Da det er to adresser på eiendommen, skal det kvitteres ut for hver av adressene.</w:t>
      </w:r>
    </w:p>
    <w:p w:rsidR="00220D7A" w:rsidP="00DE25E4" w14:paraId="4FC6744E" w14:textId="7C87AC5B">
      <w:pPr>
        <w:rPr>
          <w:color w:val="000000" w:themeColor="text1"/>
        </w:rPr>
      </w:pPr>
      <w:r>
        <w:rPr>
          <w:color w:val="000000" w:themeColor="text1"/>
        </w:rPr>
        <w:t>Hauanvegen</w:t>
      </w:r>
      <w:r>
        <w:rPr>
          <w:color w:val="000000" w:themeColor="text1"/>
        </w:rPr>
        <w:t xml:space="preserve"> 18</w:t>
      </w:r>
      <w:r>
        <w:rPr>
          <w:color w:val="000000" w:themeColor="text1"/>
        </w:rPr>
        <w:t>A</w:t>
      </w:r>
      <w:r>
        <w:rPr>
          <w:color w:val="000000" w:themeColor="text1"/>
        </w:rPr>
        <w:t xml:space="preserve"> ligger på motsatt side av </w:t>
      </w:r>
      <w:r>
        <w:rPr>
          <w:color w:val="000000" w:themeColor="text1"/>
        </w:rPr>
        <w:t>Hauanvegen</w:t>
      </w:r>
      <w:r>
        <w:rPr>
          <w:color w:val="000000" w:themeColor="text1"/>
        </w:rPr>
        <w:t xml:space="preserve"> 2</w:t>
      </w:r>
      <w:r w:rsidR="00451E0C">
        <w:rPr>
          <w:color w:val="000000" w:themeColor="text1"/>
        </w:rPr>
        <w:t>8</w:t>
      </w:r>
      <w:r>
        <w:rPr>
          <w:color w:val="000000" w:themeColor="text1"/>
        </w:rPr>
        <w:t>A. Det ligger altså to boenheter</w:t>
      </w:r>
      <w:r w:rsidR="00451E0C">
        <w:rPr>
          <w:color w:val="000000" w:themeColor="text1"/>
        </w:rPr>
        <w:t xml:space="preserve"> 18B og 28B</w:t>
      </w:r>
      <w:r>
        <w:rPr>
          <w:color w:val="000000" w:themeColor="text1"/>
        </w:rPr>
        <w:t xml:space="preserve"> mellom </w:t>
      </w:r>
      <w:r>
        <w:rPr>
          <w:color w:val="000000" w:themeColor="text1"/>
        </w:rPr>
        <w:t>Hauanvegen</w:t>
      </w:r>
      <w:r>
        <w:rPr>
          <w:color w:val="000000" w:themeColor="text1"/>
        </w:rPr>
        <w:t xml:space="preserve"> 18A og </w:t>
      </w:r>
      <w:r>
        <w:rPr>
          <w:color w:val="000000" w:themeColor="text1"/>
        </w:rPr>
        <w:t>Hauanvegen</w:t>
      </w:r>
      <w:r>
        <w:rPr>
          <w:color w:val="000000" w:themeColor="text1"/>
        </w:rPr>
        <w:t xml:space="preserve"> 24A. Begge eiendommene er seksjonert, hvor seksjoneringsgrensen går i tråd med boligens skillevegg mellom boenhetene. Det vil si at uteområdet til 28A og 18A ble vurdert til å ikke måtte varsles. 18A ligger også lengre ned i byggefeltet enn 28A, og det er på ingen måte mulig at 18A skal bli påvirket av tiltaket. Kommunedirektøren godtok </w:t>
      </w:r>
      <w:r w:rsidR="00451E0C">
        <w:rPr>
          <w:color w:val="000000" w:themeColor="text1"/>
        </w:rPr>
        <w:t>etter vurderingen ovenfor</w:t>
      </w:r>
      <w:r>
        <w:rPr>
          <w:color w:val="000000" w:themeColor="text1"/>
        </w:rPr>
        <w:t xml:space="preserve"> at 18A ikke hadde kvittert ut nabovarslet, så lenge 18B hadde kvittert ut, noe de hadde. </w:t>
      </w:r>
    </w:p>
    <w:p w:rsidR="00451E0C" w:rsidP="00DE25E4" w14:paraId="4C0B2DB5" w14:textId="5DDBCE4C">
      <w:pPr>
        <w:rPr>
          <w:color w:val="000000" w:themeColor="text1"/>
        </w:rPr>
      </w:pPr>
      <w:r>
        <w:rPr>
          <w:color w:val="000000" w:themeColor="text1"/>
        </w:rPr>
        <w:t xml:space="preserve">Angående dårlig presisering i nabovarselet på hva endringene innebærer, mener kommunedirektøren at alle klagerne under nabovarslingstidspunktet var </w:t>
      </w:r>
      <w:r w:rsidR="00337190">
        <w:rPr>
          <w:color w:val="000000" w:themeColor="text1"/>
        </w:rPr>
        <w:t>godt kjent med</w:t>
      </w:r>
      <w:r>
        <w:rPr>
          <w:color w:val="000000" w:themeColor="text1"/>
        </w:rPr>
        <w:t xml:space="preserve"> endringene og hva de skrev under på. Det har også kommet frem at naboene selv hadde gått på Tone Maritas seksjonerte tomt for å ta egne mål og bilder. De skriver også flere ganger at tiltaket var påbegynt og mønetaket var oppe, lenge før varsling om endring kom. I tillegg til dette, var det også, som klager selv skriver, skrevet i varselet at det omhandlet mønetak. </w:t>
      </w:r>
    </w:p>
    <w:p w:rsidR="00A77BFD" w:rsidRPr="00337190" w:rsidP="00DE25E4" w14:paraId="6E6DB099" w14:textId="3B9A327C">
      <w:pPr>
        <w:rPr>
          <w:color w:val="000000" w:themeColor="text1"/>
        </w:rPr>
      </w:pPr>
      <w:r>
        <w:rPr>
          <w:color w:val="000000" w:themeColor="text1"/>
        </w:rPr>
        <w:t xml:space="preserve">Under nabovarslingstidspunktet mener kommunedirektøren at det ikke </w:t>
      </w:r>
      <w:r w:rsidR="00337190">
        <w:rPr>
          <w:color w:val="000000" w:themeColor="text1"/>
        </w:rPr>
        <w:t>var</w:t>
      </w:r>
      <w:r>
        <w:rPr>
          <w:color w:val="000000" w:themeColor="text1"/>
        </w:rPr>
        <w:t xml:space="preserve"> noen tvil rundt hva endringene innebar</w:t>
      </w:r>
      <w:r w:rsidR="00337190">
        <w:rPr>
          <w:color w:val="000000" w:themeColor="text1"/>
        </w:rPr>
        <w:t>. Varslingen er derfor vurdert som</w:t>
      </w:r>
      <w:r w:rsidR="00451E0C">
        <w:rPr>
          <w:color w:val="000000" w:themeColor="text1"/>
        </w:rPr>
        <w:t xml:space="preserve"> god nok.</w:t>
      </w:r>
    </w:p>
    <w:p w:rsidR="00D10A4E" w:rsidP="00D10A4E" w14:paraId="14378780" w14:textId="77777777">
      <w:r>
        <w:t>Avslutningsvis skriver klager</w:t>
      </w:r>
      <w:r w:rsidR="00AF18D1">
        <w:t xml:space="preserve"> 1</w:t>
      </w:r>
      <w:r>
        <w:t xml:space="preserve"> ønsker om saksgangen videre, samt presisering av sakshistorikk med dateringer. Saksgangen videre vil </w:t>
      </w:r>
      <w:r w:rsidR="00337190">
        <w:t xml:space="preserve">følge vanlig saksgang for denne typen saker slik det følger av </w:t>
      </w:r>
      <w:r>
        <w:t xml:space="preserve">forvaltningslovens § 33. </w:t>
      </w:r>
    </w:p>
    <w:p w:rsidR="00D10A4E" w:rsidP="00D10A4E" w14:paraId="4BCF5DB2" w14:textId="4DA0F298">
      <w:r w:rsidRPr="00D10A4E">
        <w:t>Klagen er gjennomgått, og det fremkommer ikke nye opplysninger som er av relevans for utfallet i saken. Klagen tas ikke til følge.</w:t>
      </w:r>
    </w:p>
    <w:p w:rsidR="00EF61FD" w:rsidP="00EF61FD" w14:paraId="6EFDE734" w14:textId="77777777">
      <w:pPr>
        <w:pStyle w:val="Heading2"/>
      </w:pPr>
      <w:r w:rsidRPr="00D512C4">
        <w:t>Økonomiske konsekvenser</w:t>
      </w:r>
    </w:p>
    <w:p w:rsidR="00EF61FD" w:rsidP="00EF61FD" w14:paraId="1D9BAE74" w14:textId="77777777">
      <w:r>
        <w:t xml:space="preserve">Saken får ingen økonomiske konsekvenser for Hustadvika kommune ut over eventuelle saksomkostninger dersom klagen skulle tas til følge. </w:t>
      </w:r>
    </w:p>
    <w:p w:rsidR="00EF61FD" w:rsidP="00EF61FD" w14:paraId="788055A7" w14:textId="77777777"/>
    <w:p w:rsidR="00EF61FD" w:rsidP="00EF61FD" w14:paraId="6E62ECBD" w14:textId="77777777"/>
    <w:p w:rsidR="00EF61FD" w:rsidP="00EF61FD" w14:paraId="6420FF47"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60EE20EE" w14:textId="77777777"/>
    <w:p w:rsidR="00D418A8" w:rsidRPr="00D418A8" w:rsidP="00DE25E4" w14:paraId="2A723802" w14:textId="77777777">
      <w:r>
        <w:t>Vedlegg:</w:t>
      </w:r>
    </w:p>
    <w:tbl>
      <w:tblPr>
        <w:tblW w:w="5000" w:type="pct"/>
        <w:tblLook w:val="04A0"/>
      </w:tblPr>
      <w:tblGrid>
        <w:gridCol w:w="529"/>
        <w:gridCol w:w="8306"/>
        <w:gridCol w:w="237"/>
      </w:tblGrid>
      <w:tr w14:paraId="6B7C2E9B" w14:textId="77777777">
        <w:tblPrEx>
          <w:tblW w:w="5000" w:type="pct"/>
          <w:tblLook w:val="04A0"/>
        </w:tblPrEx>
        <w:tc>
          <w:tcPr>
            <w:tcW w:w="0" w:type="auto"/>
          </w:tcPr>
          <w:p w:rsidR="00947B09" w:rsidP="00DE25E4" w14:paraId="7ADB6DA1" w14:textId="77777777">
            <w:bookmarkStart w:id="10" w:name="VEDLEGG"/>
            <w:bookmarkEnd w:id="10"/>
            <w:r>
              <w:t>1</w:t>
            </w:r>
          </w:p>
        </w:tc>
        <w:tc>
          <w:tcPr>
            <w:tcW w:w="0" w:type="auto"/>
          </w:tcPr>
          <w:p w:rsidR="00947B09" w:rsidP="00DE25E4" w14:paraId="4F09AF93" w14:textId="77777777">
            <w:r>
              <w:t>Tillatelsen fra 2023</w:t>
            </w:r>
          </w:p>
        </w:tc>
        <w:tc>
          <w:tcPr>
            <w:tcW w:w="0" w:type="auto"/>
          </w:tcPr>
          <w:p w:rsidR="00947B09" w:rsidP="00DE25E4" w14:paraId="41A17E6F" w14:textId="77777777"/>
        </w:tc>
      </w:tr>
      <w:tr w14:paraId="55F00F92" w14:textId="77777777">
        <w:tblPrEx>
          <w:tblW w:w="5000" w:type="pct"/>
          <w:tblLook w:val="04A0"/>
        </w:tblPrEx>
        <w:tc>
          <w:tcPr>
            <w:tcW w:w="0" w:type="auto"/>
          </w:tcPr>
          <w:p w:rsidR="00947B09" w:rsidP="00DE25E4" w14:paraId="1614D8B0" w14:textId="77777777">
            <w:r>
              <w:t>2</w:t>
            </w:r>
          </w:p>
        </w:tc>
        <w:tc>
          <w:tcPr>
            <w:tcW w:w="0" w:type="auto"/>
          </w:tcPr>
          <w:p w:rsidR="00947B09" w:rsidP="00DE25E4" w14:paraId="38C98C77" w14:textId="77777777">
            <w:r>
              <w:t>Tegninger tilhørende tillatelse i 2023</w:t>
            </w:r>
          </w:p>
        </w:tc>
        <w:tc>
          <w:tcPr>
            <w:tcW w:w="0" w:type="auto"/>
          </w:tcPr>
          <w:p w:rsidR="00947B09" w:rsidP="00DE25E4" w14:paraId="271E715F" w14:textId="77777777"/>
        </w:tc>
      </w:tr>
      <w:tr w14:paraId="19FF27A3" w14:textId="77777777">
        <w:tblPrEx>
          <w:tblW w:w="5000" w:type="pct"/>
          <w:tblLook w:val="04A0"/>
        </w:tblPrEx>
        <w:tc>
          <w:tcPr>
            <w:tcW w:w="0" w:type="auto"/>
          </w:tcPr>
          <w:p w:rsidR="00947B09" w:rsidP="00DE25E4" w14:paraId="75922782" w14:textId="77777777">
            <w:r>
              <w:t>3</w:t>
            </w:r>
          </w:p>
        </w:tc>
        <w:tc>
          <w:tcPr>
            <w:tcW w:w="0" w:type="auto"/>
          </w:tcPr>
          <w:p w:rsidR="00947B09" w:rsidP="00DE25E4" w14:paraId="03028D68" w14:textId="77777777">
            <w:r>
              <w:t>Situasjonskart fra tillatelsen i 2023</w:t>
            </w:r>
          </w:p>
        </w:tc>
        <w:tc>
          <w:tcPr>
            <w:tcW w:w="0" w:type="auto"/>
          </w:tcPr>
          <w:p w:rsidR="00947B09" w:rsidP="00DE25E4" w14:paraId="13F786E8" w14:textId="77777777"/>
        </w:tc>
      </w:tr>
      <w:tr w14:paraId="654F466C" w14:textId="77777777">
        <w:tblPrEx>
          <w:tblW w:w="5000" w:type="pct"/>
          <w:tblLook w:val="04A0"/>
        </w:tblPrEx>
        <w:tc>
          <w:tcPr>
            <w:tcW w:w="0" w:type="auto"/>
          </w:tcPr>
          <w:p w:rsidR="00947B09" w:rsidP="00DE25E4" w14:paraId="6CA048EA" w14:textId="77777777">
            <w:r>
              <w:t>4</w:t>
            </w:r>
          </w:p>
        </w:tc>
        <w:tc>
          <w:tcPr>
            <w:tcW w:w="0" w:type="auto"/>
          </w:tcPr>
          <w:p w:rsidR="00947B09" w:rsidP="00DE25E4" w14:paraId="5C1A3BC2" w14:textId="77777777">
            <w:r>
              <w:t>Tegninger tilhørende endringstillatelsen i 2026</w:t>
            </w:r>
          </w:p>
        </w:tc>
        <w:tc>
          <w:tcPr>
            <w:tcW w:w="0" w:type="auto"/>
          </w:tcPr>
          <w:p w:rsidR="00947B09" w:rsidP="00DE25E4" w14:paraId="757359F7" w14:textId="77777777"/>
        </w:tc>
      </w:tr>
      <w:tr w14:paraId="5B1446AD" w14:textId="77777777">
        <w:tblPrEx>
          <w:tblW w:w="5000" w:type="pct"/>
          <w:tblLook w:val="04A0"/>
        </w:tblPrEx>
        <w:tc>
          <w:tcPr>
            <w:tcW w:w="0" w:type="auto"/>
          </w:tcPr>
          <w:p w:rsidR="00947B09" w:rsidP="00DE25E4" w14:paraId="2D4D9A71" w14:textId="77777777">
            <w:r>
              <w:t>5</w:t>
            </w:r>
          </w:p>
        </w:tc>
        <w:tc>
          <w:tcPr>
            <w:tcW w:w="0" w:type="auto"/>
          </w:tcPr>
          <w:p w:rsidR="00947B09" w:rsidP="00DE25E4" w14:paraId="152AA889" w14:textId="77777777">
            <w:r>
              <w:t>OPPHEVET endringstillatelse fra 2026</w:t>
            </w:r>
          </w:p>
        </w:tc>
        <w:tc>
          <w:tcPr>
            <w:tcW w:w="0" w:type="auto"/>
          </w:tcPr>
          <w:p w:rsidR="00947B09" w:rsidP="00DE25E4" w14:paraId="20904E30" w14:textId="77777777"/>
        </w:tc>
      </w:tr>
      <w:tr w14:paraId="7270A2BE" w14:textId="77777777">
        <w:tblPrEx>
          <w:tblW w:w="5000" w:type="pct"/>
          <w:tblLook w:val="04A0"/>
        </w:tblPrEx>
        <w:tc>
          <w:tcPr>
            <w:tcW w:w="0" w:type="auto"/>
          </w:tcPr>
          <w:p w:rsidR="00947B09" w:rsidP="00DE25E4" w14:paraId="33E84060" w14:textId="77777777">
            <w:r>
              <w:t>6</w:t>
            </w:r>
          </w:p>
        </w:tc>
        <w:tc>
          <w:tcPr>
            <w:tcW w:w="0" w:type="auto"/>
          </w:tcPr>
          <w:p w:rsidR="00947B09" w:rsidP="00DE25E4" w14:paraId="6FFA816F" w14:textId="77777777">
            <w:r>
              <w:t>Korrespondanse mellom saksbehandler John Olav</w:t>
            </w:r>
          </w:p>
        </w:tc>
        <w:tc>
          <w:tcPr>
            <w:tcW w:w="0" w:type="auto"/>
          </w:tcPr>
          <w:p w:rsidR="00947B09" w:rsidP="00DE25E4" w14:paraId="78446200" w14:textId="77777777"/>
        </w:tc>
      </w:tr>
      <w:tr w14:paraId="01FFC150" w14:textId="77777777">
        <w:tblPrEx>
          <w:tblW w:w="5000" w:type="pct"/>
          <w:tblLook w:val="04A0"/>
        </w:tblPrEx>
        <w:tc>
          <w:tcPr>
            <w:tcW w:w="0" w:type="auto"/>
          </w:tcPr>
          <w:p w:rsidR="00947B09" w:rsidP="00DE25E4" w14:paraId="66203FE4" w14:textId="77777777">
            <w:r>
              <w:t>7</w:t>
            </w:r>
          </w:p>
        </w:tc>
        <w:tc>
          <w:tcPr>
            <w:tcW w:w="0" w:type="auto"/>
          </w:tcPr>
          <w:p w:rsidR="00947B09" w:rsidP="00DE25E4" w14:paraId="7E400B2E" w14:textId="77777777">
            <w:r>
              <w:t>Seksjoneringspapir</w:t>
            </w:r>
          </w:p>
        </w:tc>
        <w:tc>
          <w:tcPr>
            <w:tcW w:w="0" w:type="auto"/>
          </w:tcPr>
          <w:p w:rsidR="00947B09" w:rsidP="00DE25E4" w14:paraId="79F9DF7D" w14:textId="77777777"/>
        </w:tc>
      </w:tr>
      <w:tr w14:paraId="774D29A8" w14:textId="77777777">
        <w:tblPrEx>
          <w:tblW w:w="5000" w:type="pct"/>
          <w:tblLook w:val="04A0"/>
        </w:tblPrEx>
        <w:tc>
          <w:tcPr>
            <w:tcW w:w="0" w:type="auto"/>
          </w:tcPr>
          <w:p w:rsidR="00947B09" w:rsidP="00DE25E4" w14:paraId="4BA7DA20" w14:textId="77777777">
            <w:r>
              <w:t>8</w:t>
            </w:r>
          </w:p>
        </w:tc>
        <w:tc>
          <w:tcPr>
            <w:tcW w:w="0" w:type="auto"/>
          </w:tcPr>
          <w:p w:rsidR="00947B09" w:rsidP="00DE25E4" w14:paraId="0167E316" w14:textId="77777777">
            <w:r>
              <w:t>Klage på første endringsmelding før endringstillatelsen ble opphevet</w:t>
            </w:r>
          </w:p>
        </w:tc>
        <w:tc>
          <w:tcPr>
            <w:tcW w:w="0" w:type="auto"/>
          </w:tcPr>
          <w:p w:rsidR="00947B09" w:rsidP="00DE25E4" w14:paraId="097F64DD" w14:textId="77777777"/>
        </w:tc>
      </w:tr>
      <w:tr w14:paraId="3C72A328" w14:textId="77777777">
        <w:tblPrEx>
          <w:tblW w:w="5000" w:type="pct"/>
          <w:tblLook w:val="04A0"/>
        </w:tblPrEx>
        <w:tc>
          <w:tcPr>
            <w:tcW w:w="0" w:type="auto"/>
          </w:tcPr>
          <w:p w:rsidR="00947B09" w:rsidP="00DE25E4" w14:paraId="66440049" w14:textId="77777777">
            <w:r>
              <w:t>9</w:t>
            </w:r>
          </w:p>
        </w:tc>
        <w:tc>
          <w:tcPr>
            <w:tcW w:w="0" w:type="auto"/>
          </w:tcPr>
          <w:p w:rsidR="00947B09" w:rsidP="00DE25E4" w14:paraId="59CBE87A" w14:textId="77777777">
            <w:r>
              <w:t xml:space="preserve">Klage på </w:t>
            </w:r>
            <w:r>
              <w:t>føste</w:t>
            </w:r>
            <w:r>
              <w:t xml:space="preserve"> endringsmelding før endringstillatelsen ble opphevet</w:t>
            </w:r>
          </w:p>
        </w:tc>
        <w:tc>
          <w:tcPr>
            <w:tcW w:w="0" w:type="auto"/>
          </w:tcPr>
          <w:p w:rsidR="00947B09" w:rsidP="00DE25E4" w14:paraId="7EA2891A" w14:textId="77777777"/>
        </w:tc>
      </w:tr>
      <w:tr w14:paraId="40D2999A" w14:textId="77777777">
        <w:tblPrEx>
          <w:tblW w:w="5000" w:type="pct"/>
          <w:tblLook w:val="04A0"/>
        </w:tblPrEx>
        <w:tc>
          <w:tcPr>
            <w:tcW w:w="0" w:type="auto"/>
          </w:tcPr>
          <w:p w:rsidR="00947B09" w:rsidP="00DE25E4" w14:paraId="14EA00FD" w14:textId="77777777">
            <w:r>
              <w:t>10</w:t>
            </w:r>
          </w:p>
        </w:tc>
        <w:tc>
          <w:tcPr>
            <w:tcW w:w="0" w:type="auto"/>
          </w:tcPr>
          <w:p w:rsidR="00947B09" w:rsidP="00DE25E4" w14:paraId="70349A03" w14:textId="77777777">
            <w:r>
              <w:t>Merknad nabovarsel Arnhild</w:t>
            </w:r>
          </w:p>
        </w:tc>
        <w:tc>
          <w:tcPr>
            <w:tcW w:w="0" w:type="auto"/>
          </w:tcPr>
          <w:p w:rsidR="00947B09" w:rsidP="00DE25E4" w14:paraId="2D055675" w14:textId="77777777"/>
        </w:tc>
      </w:tr>
      <w:tr w14:paraId="6D40E754" w14:textId="77777777">
        <w:tblPrEx>
          <w:tblW w:w="5000" w:type="pct"/>
          <w:tblLook w:val="04A0"/>
        </w:tblPrEx>
        <w:tc>
          <w:tcPr>
            <w:tcW w:w="0" w:type="auto"/>
          </w:tcPr>
          <w:p w:rsidR="00947B09" w:rsidP="00DE25E4" w14:paraId="6A5B6D47" w14:textId="77777777">
            <w:r>
              <w:t>11</w:t>
            </w:r>
          </w:p>
        </w:tc>
        <w:tc>
          <w:tcPr>
            <w:tcW w:w="0" w:type="auto"/>
          </w:tcPr>
          <w:p w:rsidR="00947B09" w:rsidP="00DE25E4" w14:paraId="507C2FCF" w14:textId="77777777">
            <w:r>
              <w:t>Merknad nabovarsel Daniel og Maria</w:t>
            </w:r>
          </w:p>
        </w:tc>
        <w:tc>
          <w:tcPr>
            <w:tcW w:w="0" w:type="auto"/>
          </w:tcPr>
          <w:p w:rsidR="00947B09" w:rsidP="00DE25E4" w14:paraId="4742EB12" w14:textId="77777777"/>
        </w:tc>
      </w:tr>
      <w:tr w14:paraId="3FBDF1D6" w14:textId="77777777">
        <w:tblPrEx>
          <w:tblW w:w="5000" w:type="pct"/>
          <w:tblLook w:val="04A0"/>
        </w:tblPrEx>
        <w:tc>
          <w:tcPr>
            <w:tcW w:w="0" w:type="auto"/>
          </w:tcPr>
          <w:p w:rsidR="00947B09" w:rsidP="00DE25E4" w14:paraId="6DF780E4" w14:textId="77777777">
            <w:r>
              <w:t>12</w:t>
            </w:r>
          </w:p>
        </w:tc>
        <w:tc>
          <w:tcPr>
            <w:tcW w:w="0" w:type="auto"/>
          </w:tcPr>
          <w:p w:rsidR="00947B09" w:rsidP="00DE25E4" w14:paraId="4B18A2F0" w14:textId="77777777">
            <w:r>
              <w:t>Søknad om endring av tak og størrelse</w:t>
            </w:r>
          </w:p>
        </w:tc>
        <w:tc>
          <w:tcPr>
            <w:tcW w:w="0" w:type="auto"/>
          </w:tcPr>
          <w:p w:rsidR="00947B09" w:rsidP="00DE25E4" w14:paraId="0B2FB1A0" w14:textId="77777777"/>
        </w:tc>
      </w:tr>
      <w:tr w14:paraId="22FF6E41" w14:textId="77777777">
        <w:tblPrEx>
          <w:tblW w:w="5000" w:type="pct"/>
          <w:tblLook w:val="04A0"/>
        </w:tblPrEx>
        <w:tc>
          <w:tcPr>
            <w:tcW w:w="0" w:type="auto"/>
          </w:tcPr>
          <w:p w:rsidR="00947B09" w:rsidP="00DE25E4" w14:paraId="74F366BF" w14:textId="77777777">
            <w:r>
              <w:t>13</w:t>
            </w:r>
          </w:p>
        </w:tc>
        <w:tc>
          <w:tcPr>
            <w:tcW w:w="0" w:type="auto"/>
          </w:tcPr>
          <w:p w:rsidR="00947B09" w:rsidP="00DE25E4" w14:paraId="38B99C95" w14:textId="77777777">
            <w:r>
              <w:t>Nabovarselet</w:t>
            </w:r>
          </w:p>
        </w:tc>
        <w:tc>
          <w:tcPr>
            <w:tcW w:w="0" w:type="auto"/>
          </w:tcPr>
          <w:p w:rsidR="00947B09" w:rsidP="00DE25E4" w14:paraId="43B8C8E2" w14:textId="77777777"/>
        </w:tc>
      </w:tr>
      <w:tr w14:paraId="730C48ED" w14:textId="77777777">
        <w:tblPrEx>
          <w:tblW w:w="5000" w:type="pct"/>
          <w:tblLook w:val="04A0"/>
        </w:tblPrEx>
        <w:tc>
          <w:tcPr>
            <w:tcW w:w="0" w:type="auto"/>
          </w:tcPr>
          <w:p w:rsidR="00947B09" w:rsidP="00DE25E4" w14:paraId="3C357986" w14:textId="77777777">
            <w:r>
              <w:t>14</w:t>
            </w:r>
          </w:p>
        </w:tc>
        <w:tc>
          <w:tcPr>
            <w:tcW w:w="0" w:type="auto"/>
          </w:tcPr>
          <w:p w:rsidR="00947B09" w:rsidP="00DE25E4" w14:paraId="6A83CF36" w14:textId="77777777">
            <w:r>
              <w:t>Kvittering for nabovarsel</w:t>
            </w:r>
          </w:p>
        </w:tc>
        <w:tc>
          <w:tcPr>
            <w:tcW w:w="0" w:type="auto"/>
          </w:tcPr>
          <w:p w:rsidR="00947B09" w:rsidP="00DE25E4" w14:paraId="5DB13A09" w14:textId="77777777"/>
        </w:tc>
      </w:tr>
      <w:tr w14:paraId="0EF85045" w14:textId="77777777">
        <w:tblPrEx>
          <w:tblW w:w="5000" w:type="pct"/>
          <w:tblLook w:val="04A0"/>
        </w:tblPrEx>
        <w:tc>
          <w:tcPr>
            <w:tcW w:w="0" w:type="auto"/>
          </w:tcPr>
          <w:p w:rsidR="00947B09" w:rsidP="00DE25E4" w14:paraId="3956AE40" w14:textId="77777777">
            <w:r>
              <w:t>15</w:t>
            </w:r>
          </w:p>
        </w:tc>
        <w:tc>
          <w:tcPr>
            <w:tcW w:w="0" w:type="auto"/>
          </w:tcPr>
          <w:p w:rsidR="00947B09" w:rsidP="00DE25E4" w14:paraId="4D67945B" w14:textId="77777777">
            <w:r>
              <w:t>originale tegninger før tilbygget</w:t>
            </w:r>
          </w:p>
        </w:tc>
        <w:tc>
          <w:tcPr>
            <w:tcW w:w="0" w:type="auto"/>
          </w:tcPr>
          <w:p w:rsidR="00947B09" w:rsidP="00DE25E4" w14:paraId="19B34F5D" w14:textId="77777777"/>
        </w:tc>
      </w:tr>
      <w:tr w14:paraId="636462E0" w14:textId="77777777">
        <w:tblPrEx>
          <w:tblW w:w="5000" w:type="pct"/>
          <w:tblLook w:val="04A0"/>
        </w:tblPrEx>
        <w:tc>
          <w:tcPr>
            <w:tcW w:w="0" w:type="auto"/>
          </w:tcPr>
          <w:p w:rsidR="00947B09" w:rsidP="00DE25E4" w14:paraId="672C245B" w14:textId="77777777">
            <w:r>
              <w:t>16</w:t>
            </w:r>
          </w:p>
        </w:tc>
        <w:tc>
          <w:tcPr>
            <w:tcW w:w="0" w:type="auto"/>
          </w:tcPr>
          <w:p w:rsidR="00947B09" w:rsidP="00DE25E4" w14:paraId="237BA73A" w14:textId="77777777">
            <w:r>
              <w:t>Situasjonsplan tilhørende tillatelse i 2026</w:t>
            </w:r>
          </w:p>
        </w:tc>
        <w:tc>
          <w:tcPr>
            <w:tcW w:w="0" w:type="auto"/>
          </w:tcPr>
          <w:p w:rsidR="00947B09" w:rsidP="00DE25E4" w14:paraId="59CB32B0" w14:textId="77777777"/>
        </w:tc>
      </w:tr>
      <w:tr w14:paraId="5E44BCBC" w14:textId="77777777">
        <w:tblPrEx>
          <w:tblW w:w="5000" w:type="pct"/>
          <w:tblLook w:val="04A0"/>
        </w:tblPrEx>
        <w:tc>
          <w:tcPr>
            <w:tcW w:w="0" w:type="auto"/>
          </w:tcPr>
          <w:p w:rsidR="00947B09" w:rsidP="00DE25E4" w14:paraId="1D321C85" w14:textId="77777777">
            <w:r>
              <w:t>17</w:t>
            </w:r>
          </w:p>
        </w:tc>
        <w:tc>
          <w:tcPr>
            <w:tcW w:w="0" w:type="auto"/>
          </w:tcPr>
          <w:p w:rsidR="00947B09" w:rsidP="00DE25E4" w14:paraId="267CD86F" w14:textId="77777777">
            <w:r>
              <w:t>Tegning ny fasade</w:t>
            </w:r>
          </w:p>
        </w:tc>
        <w:tc>
          <w:tcPr>
            <w:tcW w:w="0" w:type="auto"/>
          </w:tcPr>
          <w:p w:rsidR="00947B09" w:rsidP="00DE25E4" w14:paraId="1E87E40E" w14:textId="77777777"/>
        </w:tc>
      </w:tr>
      <w:tr w14:paraId="4931A701" w14:textId="77777777">
        <w:tblPrEx>
          <w:tblW w:w="5000" w:type="pct"/>
          <w:tblLook w:val="04A0"/>
        </w:tblPrEx>
        <w:tc>
          <w:tcPr>
            <w:tcW w:w="0" w:type="auto"/>
          </w:tcPr>
          <w:p w:rsidR="00947B09" w:rsidP="00DE25E4" w14:paraId="0E09555C" w14:textId="77777777">
            <w:r>
              <w:t>18</w:t>
            </w:r>
          </w:p>
        </w:tc>
        <w:tc>
          <w:tcPr>
            <w:tcW w:w="0" w:type="auto"/>
          </w:tcPr>
          <w:p w:rsidR="00947B09" w:rsidP="00DE25E4" w14:paraId="171C74D4" w14:textId="77777777">
            <w:r>
              <w:t>Samtykke utnyttelsesgrad</w:t>
            </w:r>
          </w:p>
        </w:tc>
        <w:tc>
          <w:tcPr>
            <w:tcW w:w="0" w:type="auto"/>
          </w:tcPr>
          <w:p w:rsidR="00947B09" w:rsidP="00DE25E4" w14:paraId="39BAAAA7" w14:textId="77777777"/>
        </w:tc>
      </w:tr>
      <w:tr w14:paraId="292EC2F9" w14:textId="77777777">
        <w:tblPrEx>
          <w:tblW w:w="5000" w:type="pct"/>
          <w:tblLook w:val="04A0"/>
        </w:tblPrEx>
        <w:tc>
          <w:tcPr>
            <w:tcW w:w="0" w:type="auto"/>
          </w:tcPr>
          <w:p w:rsidR="00947B09" w:rsidP="00DE25E4" w14:paraId="10E09F24" w14:textId="77777777">
            <w:r>
              <w:t>19</w:t>
            </w:r>
          </w:p>
        </w:tc>
        <w:tc>
          <w:tcPr>
            <w:tcW w:w="0" w:type="auto"/>
          </w:tcPr>
          <w:p w:rsidR="00947B09" w:rsidP="00DE25E4" w14:paraId="1445F063" w14:textId="77777777">
            <w:r>
              <w:t>Samtykke til plassering nærmere enn 4 meter</w:t>
            </w:r>
          </w:p>
        </w:tc>
        <w:tc>
          <w:tcPr>
            <w:tcW w:w="0" w:type="auto"/>
          </w:tcPr>
          <w:p w:rsidR="00947B09" w:rsidP="00DE25E4" w14:paraId="5A23C44E" w14:textId="77777777"/>
        </w:tc>
      </w:tr>
      <w:tr w14:paraId="4A579B0C" w14:textId="77777777">
        <w:tblPrEx>
          <w:tblW w:w="5000" w:type="pct"/>
          <w:tblLook w:val="04A0"/>
        </w:tblPrEx>
        <w:tc>
          <w:tcPr>
            <w:tcW w:w="0" w:type="auto"/>
          </w:tcPr>
          <w:p w:rsidR="00947B09" w:rsidP="00DE25E4" w14:paraId="01FA8DBF" w14:textId="77777777">
            <w:r>
              <w:t>20</w:t>
            </w:r>
          </w:p>
        </w:tc>
        <w:tc>
          <w:tcPr>
            <w:tcW w:w="0" w:type="auto"/>
          </w:tcPr>
          <w:p w:rsidR="00947B09" w:rsidP="00DE25E4" w14:paraId="041C9036" w14:textId="77777777">
            <w:r>
              <w:t>Endringstillatelse fra 2026</w:t>
            </w:r>
          </w:p>
        </w:tc>
        <w:tc>
          <w:tcPr>
            <w:tcW w:w="0" w:type="auto"/>
          </w:tcPr>
          <w:p w:rsidR="00947B09" w:rsidP="00DE25E4" w14:paraId="56D52775" w14:textId="77777777"/>
        </w:tc>
      </w:tr>
      <w:tr w14:paraId="0D965713" w14:textId="77777777">
        <w:tblPrEx>
          <w:tblW w:w="5000" w:type="pct"/>
          <w:tblLook w:val="04A0"/>
        </w:tblPrEx>
        <w:tc>
          <w:tcPr>
            <w:tcW w:w="0" w:type="auto"/>
          </w:tcPr>
          <w:p w:rsidR="00947B09" w:rsidP="00DE25E4" w14:paraId="1DE3E6F7" w14:textId="77777777">
            <w:r>
              <w:t>21</w:t>
            </w:r>
          </w:p>
        </w:tc>
        <w:tc>
          <w:tcPr>
            <w:tcW w:w="0" w:type="auto"/>
          </w:tcPr>
          <w:p w:rsidR="00947B09" w:rsidP="00DE25E4" w14:paraId="4B204FC5" w14:textId="77777777">
            <w:r>
              <w:t>Klage Maria og Daniel</w:t>
            </w:r>
          </w:p>
        </w:tc>
        <w:tc>
          <w:tcPr>
            <w:tcW w:w="0" w:type="auto"/>
          </w:tcPr>
          <w:p w:rsidR="00947B09" w:rsidP="00DE25E4" w14:paraId="31A121B1" w14:textId="77777777"/>
        </w:tc>
      </w:tr>
      <w:tr w14:paraId="352BB033" w14:textId="77777777">
        <w:tblPrEx>
          <w:tblW w:w="5000" w:type="pct"/>
          <w:tblLook w:val="04A0"/>
        </w:tblPrEx>
        <w:tc>
          <w:tcPr>
            <w:tcW w:w="0" w:type="auto"/>
          </w:tcPr>
          <w:p w:rsidR="00947B09" w:rsidP="00DE25E4" w14:paraId="5B972A39" w14:textId="77777777">
            <w:r>
              <w:t>22</w:t>
            </w:r>
          </w:p>
        </w:tc>
        <w:tc>
          <w:tcPr>
            <w:tcW w:w="0" w:type="auto"/>
          </w:tcPr>
          <w:p w:rsidR="00947B09" w:rsidP="00DE25E4" w14:paraId="513BC0FF" w14:textId="77777777">
            <w:r>
              <w:t xml:space="preserve">Motsvar fra tiltakshaver på </w:t>
            </w:r>
            <w:r>
              <w:t>klage  fra</w:t>
            </w:r>
            <w:r>
              <w:t xml:space="preserve"> Maria og Daniel</w:t>
            </w:r>
          </w:p>
        </w:tc>
        <w:tc>
          <w:tcPr>
            <w:tcW w:w="0" w:type="auto"/>
          </w:tcPr>
          <w:p w:rsidR="00947B09" w:rsidP="00DE25E4" w14:paraId="7C67CCE0" w14:textId="77777777"/>
        </w:tc>
      </w:tr>
      <w:tr w14:paraId="66E9A2D8" w14:textId="77777777">
        <w:tblPrEx>
          <w:tblW w:w="5000" w:type="pct"/>
          <w:tblLook w:val="04A0"/>
        </w:tblPrEx>
        <w:tc>
          <w:tcPr>
            <w:tcW w:w="0" w:type="auto"/>
          </w:tcPr>
          <w:p w:rsidR="00947B09" w:rsidP="00DE25E4" w14:paraId="6813740F" w14:textId="77777777">
            <w:r>
              <w:t>23</w:t>
            </w:r>
          </w:p>
        </w:tc>
        <w:tc>
          <w:tcPr>
            <w:tcW w:w="0" w:type="auto"/>
          </w:tcPr>
          <w:p w:rsidR="00947B09" w:rsidP="00DE25E4" w14:paraId="4D5853FE" w14:textId="77777777">
            <w:r>
              <w:t xml:space="preserve">Tilsvar på </w:t>
            </w:r>
            <w:r>
              <w:t>klage  fra</w:t>
            </w:r>
            <w:r>
              <w:t xml:space="preserve"> tiltakshaver på klage fra Arnhild</w:t>
            </w:r>
          </w:p>
        </w:tc>
        <w:tc>
          <w:tcPr>
            <w:tcW w:w="0" w:type="auto"/>
          </w:tcPr>
          <w:p w:rsidR="00947B09" w:rsidP="00DE25E4" w14:paraId="509B0A5E" w14:textId="77777777"/>
        </w:tc>
      </w:tr>
      <w:tr w14:paraId="683E9345" w14:textId="77777777">
        <w:tblPrEx>
          <w:tblW w:w="5000" w:type="pct"/>
          <w:tblLook w:val="04A0"/>
        </w:tblPrEx>
        <w:tc>
          <w:tcPr>
            <w:tcW w:w="0" w:type="auto"/>
          </w:tcPr>
          <w:p w:rsidR="00947B09" w:rsidP="00DE25E4" w14:paraId="2C192B7C" w14:textId="77777777">
            <w:r>
              <w:t>24</w:t>
            </w:r>
          </w:p>
        </w:tc>
        <w:tc>
          <w:tcPr>
            <w:tcW w:w="0" w:type="auto"/>
          </w:tcPr>
          <w:p w:rsidR="00947B09" w:rsidP="00DE25E4" w14:paraId="5CA606EB" w14:textId="77777777">
            <w:r>
              <w:t>Ikke godkjent klage</w:t>
            </w:r>
          </w:p>
        </w:tc>
        <w:tc>
          <w:tcPr>
            <w:tcW w:w="0" w:type="auto"/>
          </w:tcPr>
          <w:p w:rsidR="00947B09" w:rsidP="00DE25E4" w14:paraId="68643B29" w14:textId="77777777"/>
        </w:tc>
      </w:tr>
      <w:tr w14:paraId="07B8050E" w14:textId="77777777">
        <w:tblPrEx>
          <w:tblW w:w="5000" w:type="pct"/>
          <w:tblLook w:val="04A0"/>
        </w:tblPrEx>
        <w:tc>
          <w:tcPr>
            <w:tcW w:w="0" w:type="auto"/>
          </w:tcPr>
          <w:p w:rsidR="00947B09" w:rsidP="00DE25E4" w14:paraId="43A4B62D" w14:textId="77777777">
            <w:r>
              <w:t>25</w:t>
            </w:r>
          </w:p>
        </w:tc>
        <w:tc>
          <w:tcPr>
            <w:tcW w:w="0" w:type="auto"/>
          </w:tcPr>
          <w:p w:rsidR="00947B09" w:rsidP="00DE25E4" w14:paraId="20EDBCB5" w14:textId="77777777">
            <w:r>
              <w:t>Ikke godkjent klage</w:t>
            </w:r>
          </w:p>
        </w:tc>
        <w:tc>
          <w:tcPr>
            <w:tcW w:w="0" w:type="auto"/>
          </w:tcPr>
          <w:p w:rsidR="00947B09" w:rsidP="00DE25E4" w14:paraId="5B6D35DB" w14:textId="77777777"/>
        </w:tc>
      </w:tr>
      <w:tr w14:paraId="420E205F" w14:textId="77777777">
        <w:tblPrEx>
          <w:tblW w:w="5000" w:type="pct"/>
          <w:tblLook w:val="04A0"/>
        </w:tblPrEx>
        <w:tc>
          <w:tcPr>
            <w:tcW w:w="0" w:type="auto"/>
          </w:tcPr>
          <w:p w:rsidR="00947B09" w:rsidP="00DE25E4" w14:paraId="39A68C2E" w14:textId="77777777">
            <w:r>
              <w:t>26</w:t>
            </w:r>
          </w:p>
        </w:tc>
        <w:tc>
          <w:tcPr>
            <w:tcW w:w="0" w:type="auto"/>
          </w:tcPr>
          <w:p w:rsidR="00947B09" w:rsidP="00DE25E4" w14:paraId="455C8CFD" w14:textId="77777777">
            <w:r>
              <w:t>Klage fra Tone Malmedal</w:t>
            </w:r>
          </w:p>
        </w:tc>
        <w:tc>
          <w:tcPr>
            <w:tcW w:w="0" w:type="auto"/>
          </w:tcPr>
          <w:p w:rsidR="00947B09" w:rsidP="00DE25E4" w14:paraId="0A999C4E" w14:textId="77777777"/>
        </w:tc>
      </w:tr>
    </w:tbl>
    <w:p w:rsidR="00947B09" w:rsidP="00DE25E4" w14:paraId="32FCB3A8" w14:textId="77777777">
      <w:r>
        <w:fldChar w:fldCharType="begin"/>
      </w:r>
      <w:r>
        <w:instrText xml:space="preserve">  </w:instrText>
      </w:r>
      <w:r>
        <w:fldChar w:fldCharType="end"/>
      </w:r>
    </w:p>
    <w:sectPr w:rsidSect="00EA188C">
      <w:headerReference w:type="first" r:id="rId11"/>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A220F" w:rsidP="00D13C46" w14:paraId="36052A83" w14:textId="77777777">
      <w:r>
        <w:separator/>
      </w:r>
    </w:p>
    <w:p w:rsidR="008A220F" w:rsidP="00D13C46" w14:paraId="7F3CB93B" w14:textId="77777777"/>
    <w:p w:rsidR="008A220F" w:rsidP="00D13C46" w14:paraId="579AFDE0" w14:textId="77777777"/>
    <w:p w:rsidR="008A220F" w:rsidP="00D13C46" w14:paraId="700A5483" w14:textId="77777777"/>
    <w:p w:rsidR="008A220F" w:rsidP="00D13C46" w14:paraId="57591322" w14:textId="77777777"/>
    <w:p w:rsidR="008A220F" w:rsidP="00D13C46" w14:paraId="0F3FEEC6" w14:textId="77777777"/>
    <w:p w:rsidR="008A220F" w:rsidP="00D13C46" w14:paraId="22B7D93B" w14:textId="77777777"/>
    <w:p w:rsidR="008A220F" w:rsidP="00D13C46" w14:paraId="021561DD" w14:textId="77777777"/>
  </w:endnote>
  <w:endnote w:type="continuationSeparator" w:id="1">
    <w:p w:rsidR="008A220F" w:rsidP="00D13C46" w14:paraId="0F69A0FA" w14:textId="77777777">
      <w:r>
        <w:continuationSeparator/>
      </w:r>
    </w:p>
    <w:p w:rsidR="008A220F" w:rsidP="00D13C46" w14:paraId="62515F6A" w14:textId="77777777"/>
    <w:p w:rsidR="008A220F" w:rsidP="00D13C46" w14:paraId="66C656D6" w14:textId="77777777"/>
    <w:p w:rsidR="008A220F" w:rsidP="00D13C46" w14:paraId="61FE327F" w14:textId="77777777"/>
    <w:p w:rsidR="008A220F" w:rsidP="00D13C46" w14:paraId="6FE41B69" w14:textId="77777777"/>
    <w:p w:rsidR="008A220F" w:rsidP="00D13C46" w14:paraId="1CFC6CDA" w14:textId="77777777"/>
    <w:p w:rsidR="008A220F" w:rsidP="00D13C46" w14:paraId="1AE8BBA4" w14:textId="77777777"/>
    <w:p w:rsidR="008A220F" w:rsidP="00D13C46" w14:paraId="6D73514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220F" w:rsidP="00D13C46" w14:paraId="4BF08A97" w14:textId="77777777">
      <w:r>
        <w:separator/>
      </w:r>
    </w:p>
    <w:p w:rsidR="008A220F" w:rsidP="00D13C46" w14:paraId="6601ABE7" w14:textId="77777777"/>
    <w:p w:rsidR="008A220F" w:rsidP="00D13C46" w14:paraId="692CB015" w14:textId="77777777"/>
    <w:p w:rsidR="008A220F" w:rsidP="00D13C46" w14:paraId="726BF66F" w14:textId="77777777"/>
    <w:p w:rsidR="008A220F" w:rsidP="00D13C46" w14:paraId="32D9F43D" w14:textId="77777777"/>
    <w:p w:rsidR="008A220F" w:rsidP="00D13C46" w14:paraId="6E7BA1FF" w14:textId="77777777"/>
    <w:p w:rsidR="008A220F" w:rsidP="00D13C46" w14:paraId="1802ABAD" w14:textId="77777777"/>
    <w:p w:rsidR="008A220F" w:rsidP="00D13C46" w14:paraId="3980BF06" w14:textId="77777777"/>
  </w:footnote>
  <w:footnote w:type="continuationSeparator" w:id="1">
    <w:p w:rsidR="008A220F" w:rsidP="00D13C46" w14:paraId="2DFE647B" w14:textId="77777777">
      <w:r>
        <w:continuationSeparator/>
      </w:r>
    </w:p>
    <w:p w:rsidR="008A220F" w:rsidP="00D13C46" w14:paraId="13618F6A" w14:textId="77777777"/>
    <w:p w:rsidR="008A220F" w:rsidP="00D13C46" w14:paraId="20C788FC" w14:textId="77777777"/>
    <w:p w:rsidR="008A220F" w:rsidP="00D13C46" w14:paraId="21DEFD39" w14:textId="77777777"/>
    <w:p w:rsidR="008A220F" w:rsidP="00D13C46" w14:paraId="02A526BD" w14:textId="77777777"/>
    <w:p w:rsidR="008A220F" w:rsidP="00D13C46" w14:paraId="14CBC886" w14:textId="77777777"/>
    <w:p w:rsidR="008A220F" w:rsidP="00D13C46" w14:paraId="68D8886F" w14:textId="77777777"/>
    <w:p w:rsidR="008A220F" w:rsidP="00D13C46" w14:paraId="55F6ED4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22E3753E"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26B0"/>
    <w:rsid w:val="000040C9"/>
    <w:rsid w:val="00021959"/>
    <w:rsid w:val="00022F38"/>
    <w:rsid w:val="000244E9"/>
    <w:rsid w:val="00054C49"/>
    <w:rsid w:val="000566AF"/>
    <w:rsid w:val="00065601"/>
    <w:rsid w:val="00065DCF"/>
    <w:rsid w:val="0007438D"/>
    <w:rsid w:val="00077816"/>
    <w:rsid w:val="00085209"/>
    <w:rsid w:val="00097547"/>
    <w:rsid w:val="000A02B0"/>
    <w:rsid w:val="000B24D5"/>
    <w:rsid w:val="000C0290"/>
    <w:rsid w:val="000C0375"/>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B63F9"/>
    <w:rsid w:val="001D0C16"/>
    <w:rsid w:val="001D371C"/>
    <w:rsid w:val="001D4A71"/>
    <w:rsid w:val="001E5476"/>
    <w:rsid w:val="001F15CB"/>
    <w:rsid w:val="001F1B9D"/>
    <w:rsid w:val="001F64B0"/>
    <w:rsid w:val="002100B7"/>
    <w:rsid w:val="00220D7A"/>
    <w:rsid w:val="002257B3"/>
    <w:rsid w:val="00225DF0"/>
    <w:rsid w:val="0023040F"/>
    <w:rsid w:val="002305D0"/>
    <w:rsid w:val="0023370E"/>
    <w:rsid w:val="002358F8"/>
    <w:rsid w:val="0024769D"/>
    <w:rsid w:val="00250B12"/>
    <w:rsid w:val="0025234C"/>
    <w:rsid w:val="002562A1"/>
    <w:rsid w:val="00257A25"/>
    <w:rsid w:val="002720A7"/>
    <w:rsid w:val="00287F0D"/>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06190"/>
    <w:rsid w:val="003160AA"/>
    <w:rsid w:val="003224A7"/>
    <w:rsid w:val="003251BF"/>
    <w:rsid w:val="003369B8"/>
    <w:rsid w:val="00337190"/>
    <w:rsid w:val="0034090F"/>
    <w:rsid w:val="003510EC"/>
    <w:rsid w:val="0035543E"/>
    <w:rsid w:val="00364770"/>
    <w:rsid w:val="00364D7E"/>
    <w:rsid w:val="00367769"/>
    <w:rsid w:val="003913C4"/>
    <w:rsid w:val="003927D9"/>
    <w:rsid w:val="003A1B0B"/>
    <w:rsid w:val="003A23AB"/>
    <w:rsid w:val="003C480E"/>
    <w:rsid w:val="003D0277"/>
    <w:rsid w:val="003D0B4D"/>
    <w:rsid w:val="003D1E56"/>
    <w:rsid w:val="003E1271"/>
    <w:rsid w:val="003E5245"/>
    <w:rsid w:val="003F5DD6"/>
    <w:rsid w:val="003F750D"/>
    <w:rsid w:val="003F7C05"/>
    <w:rsid w:val="00407363"/>
    <w:rsid w:val="00414935"/>
    <w:rsid w:val="00414A86"/>
    <w:rsid w:val="00420851"/>
    <w:rsid w:val="004245F7"/>
    <w:rsid w:val="00424963"/>
    <w:rsid w:val="00425654"/>
    <w:rsid w:val="00426A6E"/>
    <w:rsid w:val="0042770A"/>
    <w:rsid w:val="00430408"/>
    <w:rsid w:val="004345A7"/>
    <w:rsid w:val="004409EE"/>
    <w:rsid w:val="004413BF"/>
    <w:rsid w:val="00450A78"/>
    <w:rsid w:val="00451E0C"/>
    <w:rsid w:val="00454457"/>
    <w:rsid w:val="0046377C"/>
    <w:rsid w:val="004646AD"/>
    <w:rsid w:val="004661EA"/>
    <w:rsid w:val="00477343"/>
    <w:rsid w:val="00477F51"/>
    <w:rsid w:val="00483DA1"/>
    <w:rsid w:val="00485210"/>
    <w:rsid w:val="004954C5"/>
    <w:rsid w:val="004B085C"/>
    <w:rsid w:val="004B1133"/>
    <w:rsid w:val="004B6861"/>
    <w:rsid w:val="004C414E"/>
    <w:rsid w:val="004C7874"/>
    <w:rsid w:val="004D427A"/>
    <w:rsid w:val="004D66A4"/>
    <w:rsid w:val="004E1BCF"/>
    <w:rsid w:val="004E22A4"/>
    <w:rsid w:val="004E75DF"/>
    <w:rsid w:val="00507BA5"/>
    <w:rsid w:val="00510201"/>
    <w:rsid w:val="00511D8D"/>
    <w:rsid w:val="00514328"/>
    <w:rsid w:val="00516C07"/>
    <w:rsid w:val="00523266"/>
    <w:rsid w:val="005332BB"/>
    <w:rsid w:val="00534E22"/>
    <w:rsid w:val="00540663"/>
    <w:rsid w:val="00540A73"/>
    <w:rsid w:val="00542CB3"/>
    <w:rsid w:val="00547E98"/>
    <w:rsid w:val="00555AEB"/>
    <w:rsid w:val="00566C18"/>
    <w:rsid w:val="0057189C"/>
    <w:rsid w:val="00582D95"/>
    <w:rsid w:val="0059292C"/>
    <w:rsid w:val="00597508"/>
    <w:rsid w:val="00597EF4"/>
    <w:rsid w:val="005B6011"/>
    <w:rsid w:val="005B771F"/>
    <w:rsid w:val="005C4F95"/>
    <w:rsid w:val="005D4510"/>
    <w:rsid w:val="005D59DA"/>
    <w:rsid w:val="005D70A2"/>
    <w:rsid w:val="005E48A9"/>
    <w:rsid w:val="005F31D1"/>
    <w:rsid w:val="005F3C82"/>
    <w:rsid w:val="00606F29"/>
    <w:rsid w:val="0062652B"/>
    <w:rsid w:val="0062654F"/>
    <w:rsid w:val="00641126"/>
    <w:rsid w:val="00664954"/>
    <w:rsid w:val="00664E4E"/>
    <w:rsid w:val="00671554"/>
    <w:rsid w:val="00676688"/>
    <w:rsid w:val="00676C43"/>
    <w:rsid w:val="006863C5"/>
    <w:rsid w:val="006905C2"/>
    <w:rsid w:val="006A45BC"/>
    <w:rsid w:val="006C1375"/>
    <w:rsid w:val="006C7826"/>
    <w:rsid w:val="006F6AD9"/>
    <w:rsid w:val="006F6F29"/>
    <w:rsid w:val="00710091"/>
    <w:rsid w:val="0071326B"/>
    <w:rsid w:val="0071353E"/>
    <w:rsid w:val="00745433"/>
    <w:rsid w:val="007519C8"/>
    <w:rsid w:val="00755444"/>
    <w:rsid w:val="00756468"/>
    <w:rsid w:val="00757FA2"/>
    <w:rsid w:val="007602C2"/>
    <w:rsid w:val="00760F53"/>
    <w:rsid w:val="00765ABC"/>
    <w:rsid w:val="007677C3"/>
    <w:rsid w:val="00784BA0"/>
    <w:rsid w:val="0079179C"/>
    <w:rsid w:val="007937AE"/>
    <w:rsid w:val="00793995"/>
    <w:rsid w:val="00793D38"/>
    <w:rsid w:val="007976A9"/>
    <w:rsid w:val="007A4E1D"/>
    <w:rsid w:val="007A5B78"/>
    <w:rsid w:val="007A5D10"/>
    <w:rsid w:val="007C39F7"/>
    <w:rsid w:val="007C5FBE"/>
    <w:rsid w:val="007D0E3B"/>
    <w:rsid w:val="007E46BA"/>
    <w:rsid w:val="007E4772"/>
    <w:rsid w:val="007F0662"/>
    <w:rsid w:val="007F715F"/>
    <w:rsid w:val="008102E4"/>
    <w:rsid w:val="00825539"/>
    <w:rsid w:val="00825D0D"/>
    <w:rsid w:val="00827A8F"/>
    <w:rsid w:val="0084485C"/>
    <w:rsid w:val="00846D4B"/>
    <w:rsid w:val="00851585"/>
    <w:rsid w:val="00854646"/>
    <w:rsid w:val="0086014D"/>
    <w:rsid w:val="00860321"/>
    <w:rsid w:val="008659A7"/>
    <w:rsid w:val="00866FE3"/>
    <w:rsid w:val="008733D9"/>
    <w:rsid w:val="008777D8"/>
    <w:rsid w:val="00880D0E"/>
    <w:rsid w:val="00884029"/>
    <w:rsid w:val="00886A37"/>
    <w:rsid w:val="00894CC1"/>
    <w:rsid w:val="00895A32"/>
    <w:rsid w:val="0089688C"/>
    <w:rsid w:val="008A06D2"/>
    <w:rsid w:val="008A220F"/>
    <w:rsid w:val="008A3005"/>
    <w:rsid w:val="008A7B5D"/>
    <w:rsid w:val="008A7C31"/>
    <w:rsid w:val="008B0195"/>
    <w:rsid w:val="008C07CA"/>
    <w:rsid w:val="008C1EE5"/>
    <w:rsid w:val="008C286A"/>
    <w:rsid w:val="009027B9"/>
    <w:rsid w:val="00907116"/>
    <w:rsid w:val="00907F3C"/>
    <w:rsid w:val="00912913"/>
    <w:rsid w:val="00921162"/>
    <w:rsid w:val="0092292C"/>
    <w:rsid w:val="00926A17"/>
    <w:rsid w:val="009303F5"/>
    <w:rsid w:val="00936B86"/>
    <w:rsid w:val="00940BB0"/>
    <w:rsid w:val="009434E2"/>
    <w:rsid w:val="00943B64"/>
    <w:rsid w:val="00947B09"/>
    <w:rsid w:val="0095043F"/>
    <w:rsid w:val="009508E4"/>
    <w:rsid w:val="009522C5"/>
    <w:rsid w:val="00956C6E"/>
    <w:rsid w:val="00961E95"/>
    <w:rsid w:val="0096361C"/>
    <w:rsid w:val="0096789F"/>
    <w:rsid w:val="00985920"/>
    <w:rsid w:val="009A6007"/>
    <w:rsid w:val="009B1572"/>
    <w:rsid w:val="009B28F2"/>
    <w:rsid w:val="009C6FA0"/>
    <w:rsid w:val="009E0757"/>
    <w:rsid w:val="009E7268"/>
    <w:rsid w:val="009F1D1D"/>
    <w:rsid w:val="009F7BCD"/>
    <w:rsid w:val="00A02DF6"/>
    <w:rsid w:val="00A059D2"/>
    <w:rsid w:val="00A059D5"/>
    <w:rsid w:val="00A10FA2"/>
    <w:rsid w:val="00A15CB7"/>
    <w:rsid w:val="00A16C77"/>
    <w:rsid w:val="00A217B4"/>
    <w:rsid w:val="00A266C6"/>
    <w:rsid w:val="00A3213E"/>
    <w:rsid w:val="00A34A2E"/>
    <w:rsid w:val="00A36E6B"/>
    <w:rsid w:val="00A378AB"/>
    <w:rsid w:val="00A4280D"/>
    <w:rsid w:val="00A46A0C"/>
    <w:rsid w:val="00A77BFD"/>
    <w:rsid w:val="00A831F2"/>
    <w:rsid w:val="00A86AFF"/>
    <w:rsid w:val="00AB5B41"/>
    <w:rsid w:val="00AC29DA"/>
    <w:rsid w:val="00AD11D4"/>
    <w:rsid w:val="00AD133A"/>
    <w:rsid w:val="00AE6B84"/>
    <w:rsid w:val="00AF18D1"/>
    <w:rsid w:val="00AF276E"/>
    <w:rsid w:val="00AF4864"/>
    <w:rsid w:val="00AF5338"/>
    <w:rsid w:val="00B03841"/>
    <w:rsid w:val="00B20EF1"/>
    <w:rsid w:val="00B360FE"/>
    <w:rsid w:val="00B3709F"/>
    <w:rsid w:val="00B37A60"/>
    <w:rsid w:val="00B40816"/>
    <w:rsid w:val="00B41859"/>
    <w:rsid w:val="00B45525"/>
    <w:rsid w:val="00B50710"/>
    <w:rsid w:val="00B56DB6"/>
    <w:rsid w:val="00B63B67"/>
    <w:rsid w:val="00B67740"/>
    <w:rsid w:val="00B72411"/>
    <w:rsid w:val="00BB0543"/>
    <w:rsid w:val="00BB6554"/>
    <w:rsid w:val="00BC255D"/>
    <w:rsid w:val="00BD0432"/>
    <w:rsid w:val="00BE37B7"/>
    <w:rsid w:val="00BE7A22"/>
    <w:rsid w:val="00C05E93"/>
    <w:rsid w:val="00C12428"/>
    <w:rsid w:val="00C1258D"/>
    <w:rsid w:val="00C12AF2"/>
    <w:rsid w:val="00C1529F"/>
    <w:rsid w:val="00C20183"/>
    <w:rsid w:val="00C23953"/>
    <w:rsid w:val="00C245F1"/>
    <w:rsid w:val="00C24AC5"/>
    <w:rsid w:val="00C3188C"/>
    <w:rsid w:val="00C431E4"/>
    <w:rsid w:val="00C45570"/>
    <w:rsid w:val="00C52557"/>
    <w:rsid w:val="00C55068"/>
    <w:rsid w:val="00C64706"/>
    <w:rsid w:val="00C87F9A"/>
    <w:rsid w:val="00C90FD9"/>
    <w:rsid w:val="00C97236"/>
    <w:rsid w:val="00CB6098"/>
    <w:rsid w:val="00CB73D9"/>
    <w:rsid w:val="00CC0CB3"/>
    <w:rsid w:val="00CC49D0"/>
    <w:rsid w:val="00CC6ECF"/>
    <w:rsid w:val="00CD01AA"/>
    <w:rsid w:val="00CD7BF7"/>
    <w:rsid w:val="00CE140C"/>
    <w:rsid w:val="00CE70E6"/>
    <w:rsid w:val="00D03F82"/>
    <w:rsid w:val="00D06396"/>
    <w:rsid w:val="00D0780D"/>
    <w:rsid w:val="00D10A4E"/>
    <w:rsid w:val="00D113E5"/>
    <w:rsid w:val="00D13C46"/>
    <w:rsid w:val="00D20911"/>
    <w:rsid w:val="00D418A8"/>
    <w:rsid w:val="00D41DED"/>
    <w:rsid w:val="00D44A28"/>
    <w:rsid w:val="00D46DEF"/>
    <w:rsid w:val="00D504B7"/>
    <w:rsid w:val="00D512C4"/>
    <w:rsid w:val="00D52C2E"/>
    <w:rsid w:val="00D62A4A"/>
    <w:rsid w:val="00D754D2"/>
    <w:rsid w:val="00D76DAA"/>
    <w:rsid w:val="00D80168"/>
    <w:rsid w:val="00D909AE"/>
    <w:rsid w:val="00D90D9B"/>
    <w:rsid w:val="00D91E88"/>
    <w:rsid w:val="00D94038"/>
    <w:rsid w:val="00D96D0F"/>
    <w:rsid w:val="00DA3776"/>
    <w:rsid w:val="00DA6852"/>
    <w:rsid w:val="00DB2644"/>
    <w:rsid w:val="00DB3DA5"/>
    <w:rsid w:val="00DB7D67"/>
    <w:rsid w:val="00DD3C1D"/>
    <w:rsid w:val="00DE0A91"/>
    <w:rsid w:val="00DE25E4"/>
    <w:rsid w:val="00DE6776"/>
    <w:rsid w:val="00DF7CB9"/>
    <w:rsid w:val="00E26A45"/>
    <w:rsid w:val="00E35338"/>
    <w:rsid w:val="00E374F4"/>
    <w:rsid w:val="00E43721"/>
    <w:rsid w:val="00E60191"/>
    <w:rsid w:val="00E65FF6"/>
    <w:rsid w:val="00E77939"/>
    <w:rsid w:val="00E8108F"/>
    <w:rsid w:val="00E87647"/>
    <w:rsid w:val="00E96CC5"/>
    <w:rsid w:val="00EA0643"/>
    <w:rsid w:val="00EA17CF"/>
    <w:rsid w:val="00EA188C"/>
    <w:rsid w:val="00EA3AB9"/>
    <w:rsid w:val="00EA56E0"/>
    <w:rsid w:val="00EA57AF"/>
    <w:rsid w:val="00EB08ED"/>
    <w:rsid w:val="00EB29F9"/>
    <w:rsid w:val="00ED2E74"/>
    <w:rsid w:val="00EE0B8C"/>
    <w:rsid w:val="00EE3E80"/>
    <w:rsid w:val="00EE442D"/>
    <w:rsid w:val="00EE56DD"/>
    <w:rsid w:val="00EE753A"/>
    <w:rsid w:val="00EE7C1D"/>
    <w:rsid w:val="00EF61FD"/>
    <w:rsid w:val="00EF702A"/>
    <w:rsid w:val="00F002DC"/>
    <w:rsid w:val="00F055B9"/>
    <w:rsid w:val="00F077C6"/>
    <w:rsid w:val="00F1002F"/>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5D54"/>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5A68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0911"/>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styleId="CommentReference">
    <w:name w:val="annotation reference"/>
    <w:basedOn w:val="DefaultParagraphFont"/>
    <w:semiHidden/>
    <w:unhideWhenUsed/>
    <w:rsid w:val="005C4F95"/>
    <w:rPr>
      <w:sz w:val="16"/>
      <w:szCs w:val="16"/>
    </w:rPr>
  </w:style>
  <w:style w:type="paragraph" w:styleId="CommentText">
    <w:name w:val="annotation text"/>
    <w:basedOn w:val="Normal"/>
    <w:link w:val="MerknadstekstTegn"/>
    <w:unhideWhenUsed/>
    <w:rsid w:val="005C4F95"/>
    <w:rPr>
      <w:sz w:val="20"/>
      <w:szCs w:val="20"/>
    </w:rPr>
  </w:style>
  <w:style w:type="character" w:customStyle="1" w:styleId="MerknadstekstTegn">
    <w:name w:val="Merknadstekst Tegn"/>
    <w:basedOn w:val="DefaultParagraphFont"/>
    <w:link w:val="CommentText"/>
    <w:rsid w:val="005C4F95"/>
    <w:rPr>
      <w:rFonts w:ascii="Verdana" w:hAnsi="Verdana"/>
    </w:rPr>
  </w:style>
  <w:style w:type="paragraph" w:styleId="CommentSubject">
    <w:name w:val="annotation subject"/>
    <w:basedOn w:val="CommentText"/>
    <w:next w:val="CommentText"/>
    <w:link w:val="KommentaremneTegn"/>
    <w:semiHidden/>
    <w:unhideWhenUsed/>
    <w:rsid w:val="005C4F95"/>
    <w:rPr>
      <w:b/>
      <w:bCs/>
    </w:rPr>
  </w:style>
  <w:style w:type="character" w:customStyle="1" w:styleId="KommentaremneTegn">
    <w:name w:val="Kommentaremne Tegn"/>
    <w:basedOn w:val="MerknadstekstTegn"/>
    <w:link w:val="CommentSubject"/>
    <w:semiHidden/>
    <w:rsid w:val="005C4F95"/>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2484</Words>
  <Characters>13166</Characters>
  <Application>Microsoft Office Word</Application>
  <DocSecurity>0</DocSecurity>
  <Lines>109</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2024-12-11T16:25:00Z</dcterms:created>
  <dcterms:modified xsi:type="dcterms:W3CDTF">2026-09-15T07:07:00Z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4d57ade4-b996-4300-8112-6b274e234eff</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2024-12-11T16:25:44Z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y fmtid="{D5CDD505-2E9C-101B-9397-08002B2CF9AE}" pid="18" name="MSIP_Label_a9a3c10f-236a-4d11-a6ad-60a42c01d525_ActionId">
    <vt:lpwstr>fc80ce3e-a9ed-4eb7-8fd5-54b897a2abfb</vt:lpwstr>
  </property>
  <property fmtid="{D5CDD505-2E9C-101B-9397-08002B2CF9AE}" pid="19" name="MSIP_Label_a9a3c10f-236a-4d11-a6ad-60a42c01d525_Application">
    <vt:lpwstr>Microsoft Azure Information Protection</vt:lpwstr>
  </property>
  <property fmtid="{D5CDD505-2E9C-101B-9397-08002B2CF9AE}" pid="20" name="MSIP_Label_a9a3c10f-236a-4d11-a6ad-60a42c01d525_Enabled">
    <vt:lpwstr>True</vt:lpwstr>
  </property>
  <property fmtid="{D5CDD505-2E9C-101B-9397-08002B2CF9AE}" pid="21" name="MSIP_Label_a9a3c10f-236a-4d11-a6ad-60a42c01d525_Extended_MSFT_Method">
    <vt:lpwstr>Automatic</vt:lpwstr>
  </property>
  <property fmtid="{D5CDD505-2E9C-101B-9397-08002B2CF9AE}" pid="22" name="MSIP_Label_a9a3c10f-236a-4d11-a6ad-60a42c01d525_Name">
    <vt:lpwstr>Generell</vt:lpwstr>
  </property>
  <property fmtid="{D5CDD505-2E9C-101B-9397-08002B2CF9AE}" pid="23" name="MSIP_Label_a9a3c10f-236a-4d11-a6ad-60a42c01d525_Owner">
    <vt:lpwstr>elisabeth.mathisen@hustadvika.kommune.no</vt:lpwstr>
  </property>
  <property fmtid="{D5CDD505-2E9C-101B-9397-08002B2CF9AE}" pid="24" name="MSIP_Label_a9a3c10f-236a-4d11-a6ad-60a42c01d525_SetDate">
    <vt:lpwstr>2021-11-09T08:22:28.9745202Z</vt:lpwstr>
  </property>
  <property fmtid="{D5CDD505-2E9C-101B-9397-08002B2CF9AE}" pid="25" name="MSIP_Label_a9a3c10f-236a-4d11-a6ad-60a42c01d525_SiteId">
    <vt:lpwstr>1b0ae40c-1c63-4693-a886-f7e0c8a8ee73</vt:lpwstr>
  </property>
</Properties>
</file>