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98BF" w14:textId="3D7EA8D6" w:rsidR="00341417" w:rsidRPr="00341417" w:rsidRDefault="00341417" w:rsidP="003E095F">
      <w:pPr>
        <w:spacing w:before="100" w:beforeAutospacing="1" w:after="100" w:afterAutospacing="1" w:line="240" w:lineRule="auto"/>
      </w:pPr>
      <w:r>
        <w:t>Sak 26/1994 - Lokal forskrift om finansiering av private barnehager i Midtre Gauldal kommune»</w:t>
      </w:r>
    </w:p>
    <w:p w14:paraId="07172199" w14:textId="77777777" w:rsidR="00341417" w:rsidRDefault="00341417" w:rsidP="003E095F">
      <w:pPr>
        <w:spacing w:before="100" w:beforeAutospacing="1" w:after="100" w:afterAutospacing="1" w:line="240" w:lineRule="auto"/>
        <w:rPr>
          <w:rFonts w:ascii="Times New Roman" w:eastAsia="Times New Roman" w:hAnsi="Times New Roman" w:cs="Times New Roman"/>
          <w:b/>
          <w:bCs/>
          <w:sz w:val="32"/>
          <w:szCs w:val="32"/>
          <w:lang w:eastAsia="nb-NO"/>
        </w:rPr>
      </w:pPr>
    </w:p>
    <w:p w14:paraId="1C819CD3" w14:textId="5C7B73D2" w:rsidR="003E095F" w:rsidRDefault="003E095F" w:rsidP="003E095F">
      <w:pPr>
        <w:spacing w:before="100" w:beforeAutospacing="1" w:after="100" w:afterAutospacing="1" w:line="240" w:lineRule="auto"/>
        <w:rPr>
          <w:rFonts w:ascii="Times New Roman" w:eastAsia="Times New Roman" w:hAnsi="Times New Roman" w:cs="Times New Roman"/>
          <w:b/>
          <w:bCs/>
          <w:sz w:val="32"/>
          <w:szCs w:val="32"/>
          <w:lang w:eastAsia="nb-NO"/>
        </w:rPr>
      </w:pPr>
      <w:r w:rsidRPr="003E095F">
        <w:rPr>
          <w:rFonts w:ascii="Times New Roman" w:eastAsia="Times New Roman" w:hAnsi="Times New Roman" w:cs="Times New Roman"/>
          <w:b/>
          <w:bCs/>
          <w:sz w:val="32"/>
          <w:szCs w:val="32"/>
          <w:lang w:eastAsia="nb-NO"/>
        </w:rPr>
        <w:t>Høringssvar – lokal forskrift om finansiering av private barnehager i Midtre Gauldal kommune – 2027</w:t>
      </w:r>
      <w:r>
        <w:rPr>
          <w:rFonts w:ascii="Times New Roman" w:eastAsia="Times New Roman" w:hAnsi="Times New Roman" w:cs="Times New Roman"/>
          <w:b/>
          <w:bCs/>
          <w:sz w:val="32"/>
          <w:szCs w:val="32"/>
          <w:lang w:eastAsia="nb-NO"/>
        </w:rPr>
        <w:t xml:space="preserve"> fra Hauka Villmarksbarnehage og PBL. </w:t>
      </w:r>
    </w:p>
    <w:p w14:paraId="449D31A9" w14:textId="77777777" w:rsidR="00341417" w:rsidRPr="003E095F" w:rsidRDefault="00341417" w:rsidP="003E095F">
      <w:pPr>
        <w:spacing w:before="100" w:beforeAutospacing="1" w:after="100" w:afterAutospacing="1" w:line="240" w:lineRule="auto"/>
        <w:rPr>
          <w:rFonts w:ascii="Times New Roman" w:eastAsia="Times New Roman" w:hAnsi="Times New Roman" w:cs="Times New Roman"/>
          <w:sz w:val="24"/>
          <w:szCs w:val="24"/>
          <w:lang w:eastAsia="nb-NO"/>
        </w:rPr>
      </w:pPr>
    </w:p>
    <w:p w14:paraId="336A0BFE"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i/>
          <w:iCs/>
          <w:sz w:val="24"/>
          <w:szCs w:val="24"/>
          <w:lang w:eastAsia="nb-NO"/>
        </w:rPr>
        <w:t>PBL (Private Barnehagers Landsforbund) er Norges største interesse- og arbeidsgiverorganisasjon for private barnehager. PBL har 1.700 medlemsbarnehager med rundt 30.000 ansatte i mer enn 200 kommuner.</w:t>
      </w:r>
    </w:p>
    <w:p w14:paraId="065AD1BD"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viser til Midtre Gauldal kommunes forslag til lokal forskrift om finansiering av private barnehager for</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tilskuddsåret</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2027. Forskriften fastsetter satser for grunntilskudd.</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   </w:t>
      </w:r>
    </w:p>
    <w:p w14:paraId="652CF78E"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fremhever det grunnleggende kravet om å likebehandle kommunale og private barnehager når det gjelder beregningen av offentlig tilskudd til drift, og viktigheten av å sikre de private barnehagene lovmessig finansering ved utarbeidelsen av forskriften.</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   </w:t>
      </w:r>
    </w:p>
    <w:p w14:paraId="0921EFC3"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Likebehandling forutsetter at private barnehager får offentlig tilskudd på samme økonomiske grunnlag som kommunale barnehager, og at alle relevante kostnader i kommunens drift inngår i beregningsgrunnlaget.</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   </w:t>
      </w:r>
    </w:p>
    <w:p w14:paraId="75F7B1E7"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I den forbindelse er det på sin plass å påpeke at det nasjonale regelverket for finansiering av pensjon behandler kommunale og private barnehager ulikt.  Mens kommunale barnehager i Midtre Gauldal rapporterer pensjonsutgifter på 24,8 prosent av lønn, vil private barnehager i første omgang få et pensjonstilskudd på maksimalt 11 prosent av lønn. En søknadsordning begrenset oppad til 16 prosent, inneholder også mekanismer (bunnfradrag og 3-årsregel) som svekker private barnehagers rett til å få dekket sine dokumenterte pensjonsutgifter.</w:t>
      </w:r>
    </w:p>
    <w:p w14:paraId="3A70CF3F"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bidrar gjerne med ytterligere innspill og presiseringer under den videre behandlingen av forskriften frem mot innstilling til politiske organer. Vi setter også pris på å få direkte informasjon om når saken behandles, og med lenke til saksdokumenter/innstilling i saken.</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   </w:t>
      </w:r>
    </w:p>
    <w:p w14:paraId="14CB861F"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    </w:t>
      </w:r>
    </w:p>
    <w:p w14:paraId="5EE50BC2"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u w:val="single"/>
          <w:lang w:eastAsia="nb-NO"/>
        </w:rPr>
        <w:t>Generelle merknader:</w:t>
      </w:r>
      <w:r w:rsidRPr="003E095F">
        <w:rPr>
          <w:rFonts w:ascii="Times New Roman" w:eastAsia="Times New Roman" w:hAnsi="Times New Roman" w:cs="Times New Roman"/>
          <w:sz w:val="24"/>
          <w:szCs w:val="24"/>
          <w:lang w:eastAsia="nb-NO"/>
        </w:rPr>
        <w:t>  </w:t>
      </w:r>
    </w:p>
    <w:p w14:paraId="1400E9AC"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anbefaler at høringsnotatet redegjør noe for utviklingen av tilskuddssatsen, og hvordan den vil kunne påvirke driftsforutsetningene for kommende tilskuddsår.   </w:t>
      </w:r>
    </w:p>
    <w:p w14:paraId="021116F2"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støtter at kommunen har benyttet KS/PBL sin beregningsmodell. </w:t>
      </w:r>
    </w:p>
    <w:p w14:paraId="64AA02E0"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støtter at det er kommunestyret som fastsetter forskriften. </w:t>
      </w:r>
    </w:p>
    <w:p w14:paraId="693D37B9"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6C8F97B6"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b/>
          <w:bCs/>
          <w:sz w:val="24"/>
          <w:szCs w:val="24"/>
          <w:u w:val="single"/>
          <w:lang w:eastAsia="nb-NO"/>
        </w:rPr>
        <w:lastRenderedPageBreak/>
        <w:t>Til forslaget til forskrift:</w:t>
      </w:r>
      <w:r w:rsidRPr="003E095F">
        <w:rPr>
          <w:rFonts w:ascii="Times New Roman" w:eastAsia="Times New Roman" w:hAnsi="Times New Roman" w:cs="Times New Roman"/>
          <w:sz w:val="24"/>
          <w:szCs w:val="24"/>
          <w:u w:val="single"/>
          <w:lang w:eastAsia="nb-NO"/>
        </w:rPr>
        <w:t> </w:t>
      </w:r>
      <w:r w:rsidRPr="003E095F">
        <w:rPr>
          <w:rFonts w:ascii="Times New Roman" w:eastAsia="Times New Roman" w:hAnsi="Times New Roman" w:cs="Times New Roman"/>
          <w:sz w:val="24"/>
          <w:szCs w:val="24"/>
          <w:lang w:eastAsia="nb-NO"/>
        </w:rPr>
        <w:t>  </w:t>
      </w:r>
    </w:p>
    <w:p w14:paraId="5BBC0359"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1 Virkeområde og ikrafttredelse  </w:t>
      </w:r>
    </w:p>
    <w:p w14:paraId="56D94C44" w14:textId="77777777" w:rsidR="003E095F" w:rsidRPr="003E095F" w:rsidRDefault="003E095F" w:rsidP="003E095F">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har ingen merknader til bestemmelsen.  </w:t>
      </w:r>
    </w:p>
    <w:p w14:paraId="694FABDC"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2 Satser for grunntilskudd  </w:t>
      </w:r>
    </w:p>
    <w:p w14:paraId="30810AFD" w14:textId="77777777" w:rsidR="003E095F" w:rsidRPr="003E095F" w:rsidRDefault="003E095F" w:rsidP="003E095F">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støtter at kommunen ikke holder utgifter utenfor beregningsgrunnlaget etter barnehageloven § 19 a.  </w:t>
      </w:r>
    </w:p>
    <w:p w14:paraId="618F4D3F" w14:textId="77777777" w:rsidR="003E095F" w:rsidRPr="003E095F" w:rsidRDefault="003E095F" w:rsidP="003E095F">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har følgende merknader til satsberegningen:</w:t>
      </w:r>
    </w:p>
    <w:p w14:paraId="519352B6"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8"/>
          <w:szCs w:val="28"/>
          <w:lang w:eastAsia="nb-NO"/>
        </w:rPr>
        <w:t>Refusjoner økonomirapport 201:</w:t>
      </w:r>
    </w:p>
    <w:p w14:paraId="1BD8EE61" w14:textId="01242D6A"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14:anchorId="345C754F" wp14:editId="1B17F524">
            <wp:extent cx="8915400" cy="714375"/>
            <wp:effectExtent l="0" t="0" r="0" b="9525"/>
            <wp:docPr id="2108599466"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15400" cy="714375"/>
                    </a:xfrm>
                    <a:prstGeom prst="rect">
                      <a:avLst/>
                    </a:prstGeom>
                    <a:noFill/>
                  </pic:spPr>
                </pic:pic>
              </a:graphicData>
            </a:graphic>
          </wp:inline>
        </w:drawing>
      </w:r>
      <w:r w:rsidRPr="003E095F">
        <w:rPr>
          <w:rFonts w:ascii="Times New Roman" w:eastAsia="Times New Roman" w:hAnsi="Times New Roman" w:cs="Times New Roman"/>
          <w:noProof/>
          <w:sz w:val="24"/>
          <w:szCs w:val="24"/>
          <w:lang w:eastAsia="nb-NO"/>
        </w:rPr>
        <mc:AlternateContent>
          <mc:Choice Requires="wps">
            <w:drawing>
              <wp:inline distT="0" distB="0" distL="0" distR="0" wp14:anchorId="063CD834" wp14:editId="673EE7AE">
                <wp:extent cx="8763000" cy="695325"/>
                <wp:effectExtent l="0" t="0" r="0" b="0"/>
                <wp:docPr id="43624930"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763000"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7BEF08" id="AutoShape 9" o:spid="_x0000_s1026" style="width:690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" filled="f" stroked="f">
                <o:lock v:ext="edit" aspectratio="t"/>
                <w10:anchorlock/>
              </v:rect>
            </w:pict>
          </mc:Fallback>
        </mc:AlternateContent>
      </w:r>
      <w:r w:rsidRPr="003E095F">
        <w:rPr>
          <w:rFonts w:ascii="Times New Roman" w:eastAsia="Times New Roman" w:hAnsi="Times New Roman" w:cs="Times New Roman"/>
          <w:sz w:val="24"/>
          <w:szCs w:val="24"/>
          <w:lang w:eastAsia="nb-NO"/>
        </w:rPr>
        <w:t> </w:t>
      </w:r>
    </w:p>
    <w:p w14:paraId="6C3DC60B"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Kommunen har ført en refusjon på ansvarsområde «Barnehagene felles» på 249 783 kroner under «Andre tilskudd og refusjoner», slik at den reduserer tilskuddsgrunnlaget til de private barnehagene. Samtidig er et identisk beløp avsatt til fond. </w:t>
      </w:r>
    </w:p>
    <w:p w14:paraId="18E386CA"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Når refusjonen i sin helhet er satt av til fond, er den ikke benyttet til å dekke løpende driftsutgifter i 2025, og de tilhørende kostnadene inngår dermed ikke i grunnlaget. Refusjonen bør derfor ikke redusere tilskuddsgrunnlaget. Vi ber om at kommunen retter dette i beregningen. </w:t>
      </w:r>
    </w:p>
    <w:p w14:paraId="6BB6B159"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5ABE857D"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8"/>
          <w:szCs w:val="28"/>
          <w:lang w:eastAsia="nb-NO"/>
        </w:rPr>
        <w:t>Statlige overføringer:</w:t>
      </w:r>
    </w:p>
    <w:p w14:paraId="482FFA07" w14:textId="307747CA"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14:anchorId="70E3EF21" wp14:editId="14760EA7">
            <wp:extent cx="8915400" cy="1571625"/>
            <wp:effectExtent l="0" t="0" r="0" b="9525"/>
            <wp:docPr id="78582486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15400" cy="1571625"/>
                    </a:xfrm>
                    <a:prstGeom prst="rect">
                      <a:avLst/>
                    </a:prstGeom>
                    <a:noFill/>
                  </pic:spPr>
                </pic:pic>
              </a:graphicData>
            </a:graphic>
          </wp:inline>
        </w:drawing>
      </w:r>
      <w:r w:rsidRPr="003E095F">
        <w:rPr>
          <w:rFonts w:ascii="Times New Roman" w:eastAsia="Times New Roman" w:hAnsi="Times New Roman" w:cs="Times New Roman"/>
          <w:noProof/>
          <w:sz w:val="24"/>
          <w:szCs w:val="24"/>
          <w:lang w:eastAsia="nb-NO"/>
        </w:rPr>
        <mc:AlternateContent>
          <mc:Choice Requires="wps">
            <w:drawing>
              <wp:inline distT="0" distB="0" distL="0" distR="0" wp14:anchorId="734ADF2A" wp14:editId="1A60501C">
                <wp:extent cx="7105650" cy="1257300"/>
                <wp:effectExtent l="0" t="0" r="0" b="0"/>
                <wp:docPr id="1856834987"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0565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B25D16" id="AutoShape 10" o:spid="_x0000_s1026" style="width:559.5pt;height: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" filled="f" stroked="f">
                <o:lock v:ext="edit" aspectratio="t"/>
                <w10:anchorlock/>
              </v:rect>
            </w:pict>
          </mc:Fallback>
        </mc:AlternateContent>
      </w:r>
      <w:r w:rsidRPr="003E095F">
        <w:rPr>
          <w:rFonts w:ascii="Times New Roman" w:eastAsia="Times New Roman" w:hAnsi="Times New Roman" w:cs="Times New Roman"/>
          <w:sz w:val="24"/>
          <w:szCs w:val="24"/>
          <w:lang w:eastAsia="nb-NO"/>
        </w:rPr>
        <w:t>Kommunen har trukket fra refusjoner på til sammen 1 283 565 kroner, ført på konto 181000 «Andre statlige overføringer». Vi ber om en nærmere redegjørelse for hva disse refusjonene gjelder, og hvor de tilhørende utgiftene er ført i økonomirapporten. </w:t>
      </w:r>
    </w:p>
    <w:p w14:paraId="7397A7BF"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Dersom deler av refusjonene knytter seg til pensjon i de kommunale barnehagene, må denne delen holdes utenfor, ettersom kommunal pensjon trekkes ut i sin helhet i selvkostarket. </w:t>
      </w:r>
    </w:p>
    <w:p w14:paraId="1C0B35FC"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8"/>
          <w:szCs w:val="28"/>
          <w:lang w:eastAsia="nb-NO"/>
        </w:rPr>
        <w:t>Kostpenger kommunale barnehager:</w:t>
      </w:r>
    </w:p>
    <w:p w14:paraId="7522D817"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Kostpenger som foreldre betaler til kommunale barnehager i Midtre Gauldal overstiger utgifter til mat med nesten 90</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000 kr. Dette til tross for at for at det skal praktiseres selvkost, hvor</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kostpengene</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er lik</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utgiftene.</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Det fremkommer ikke av dokumentasjonen</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om</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kostpengene eventuelt</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finansierer kokk</w:t>
      </w:r>
      <w:r w:rsidRPr="003E095F">
        <w:rPr>
          <w:rFonts w:ascii="Arial" w:eastAsia="Times New Roman" w:hAnsi="Arial" w:cs="Arial"/>
          <w:sz w:val="24"/>
          <w:szCs w:val="24"/>
          <w:lang w:eastAsia="nb-NO"/>
        </w:rPr>
        <w:t> </w:t>
      </w:r>
      <w:r w:rsidRPr="003E095F">
        <w:rPr>
          <w:rFonts w:ascii="Times New Roman" w:eastAsia="Times New Roman" w:hAnsi="Times New Roman" w:cs="Times New Roman"/>
          <w:sz w:val="24"/>
          <w:szCs w:val="24"/>
          <w:lang w:eastAsia="nb-NO"/>
        </w:rPr>
        <w:t>eller kjøkkenhjelp.  </w:t>
      </w:r>
    </w:p>
    <w:p w14:paraId="54C8D880"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Det er ikke meningen at kommunen skal tjene på kostpengene, og dermed redusere tilskuddsgrunnlaget til de private barnehagene. PBL ber derfor kommunen om å redegjøre for årsaken til at kostpengene overstiger utgiftene, og eventuelt rette opp i beregningen slik at kostpenger er til selvkost. </w:t>
      </w:r>
    </w:p>
    <w:p w14:paraId="382680F0"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8"/>
          <w:szCs w:val="28"/>
          <w:lang w:eastAsia="nb-NO"/>
        </w:rPr>
        <w:t>Manglende oppdatering av kommunal deflator:</w:t>
      </w:r>
    </w:p>
    <w:p w14:paraId="382D5A3E"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Kommunen har ikke oppjustert deflator for 2026 i tråd med siste tilgjengelige anslag for kommunal lønns- og prisvekst. Beregningsgrunnlaget bygger dermed på en undervurdert kostnadsvekst. </w:t>
      </w:r>
    </w:p>
    <w:p w14:paraId="3EEBDB4F"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Beregningsgrunnlaget skal fremskrives med kommunal deflator slik at grunnlaget reflekterer forventet lønns- og prisvekst frem til tilskuddsåret. Når deflatoranslaget ikke er oppdatert, blir grunntilskuddssatsene i høringsgrunnlaget fastsatt for lavt. </w:t>
      </w:r>
    </w:p>
    <w:p w14:paraId="794936EB"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Deflatorene må uansett oppdateres i tråd med statsbudsjettet for 2027 før endelig vedtak fattes, men etter vårt syn bør imidlertid sist tilgjengelige anslag benyttes allerede i beregningen som sendes på høring. Høringen skal gi et mest mulig riktig bilde av forventet tilskuddsnivå, og både kommunens og de private barnehagenes budsjettarbeid vil bygge på disse tallene. Vi ber derfor om at kommunen fremover benytter sist tilgjengelige anslag for deflatorer når beregningen av grunntilskuddssatsene sendes på høring. </w:t>
      </w:r>
    </w:p>
    <w:p w14:paraId="08CCD1AE"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3494C0E0"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3 Beregningsgrunnlaget og forbehold om endringer  </w:t>
      </w:r>
    </w:p>
    <w:p w14:paraId="49B821D9" w14:textId="77777777" w:rsidR="003E095F" w:rsidRPr="003E095F" w:rsidRDefault="003E095F" w:rsidP="003E095F">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De fire første avsnitt kan vurderes å tas ut av forskriften. Disse inneholder informasjon om beregningene, og hører hjemme i saksforberedende dokumenter.   </w:t>
      </w:r>
    </w:p>
    <w:p w14:paraId="37F75ED2"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27FD61BA" w14:textId="77777777" w:rsidR="003E095F" w:rsidRPr="003E095F" w:rsidRDefault="003E095F" w:rsidP="003E095F">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Når det gjelder forbeholdet:   </w:t>
      </w:r>
    </w:p>
    <w:p w14:paraId="3E9AE254"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w:t>
      </w:r>
      <w:r w:rsidRPr="003E095F">
        <w:rPr>
          <w:rFonts w:ascii="Times New Roman" w:eastAsia="Times New Roman" w:hAnsi="Times New Roman" w:cs="Times New Roman"/>
          <w:i/>
          <w:iCs/>
          <w:sz w:val="24"/>
          <w:szCs w:val="24"/>
          <w:lang w:eastAsia="nb-NO"/>
        </w:rPr>
        <w:t>Nasjonale myndigheter vedtar endringer i lov og forskrift i løpet av tilskuddsåret som medfører endringer i beregninger av satser.</w:t>
      </w:r>
      <w:r w:rsidRPr="003E095F">
        <w:rPr>
          <w:rFonts w:ascii="Times New Roman" w:eastAsia="Times New Roman" w:hAnsi="Times New Roman" w:cs="Times New Roman"/>
          <w:sz w:val="24"/>
          <w:szCs w:val="24"/>
          <w:lang w:eastAsia="nb-NO"/>
        </w:rPr>
        <w:t>»   </w:t>
      </w:r>
    </w:p>
    <w:p w14:paraId="56E98E7A"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mener bestemmelsen bør tas ut. Det er begrensinger i adgangen til å gi endringer i lov og forskrift tilbakevirkende kraft, bl.a. av hensynet til forutberegnelighet.    </w:t>
      </w:r>
    </w:p>
    <w:p w14:paraId="590BAF9E" w14:textId="77777777" w:rsidR="003E095F" w:rsidRPr="003E095F" w:rsidRDefault="003E095F" w:rsidP="003E095F">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mener videre at eventuelle justeringer av satsen ikke bør skje uten etter forutgående varsel. Dette er særlig viktig for forutberegneligheten, dersom justeringen innebærer nedgang i tilskuddsnivå. Forutgående varsel vil også muliggjøre oppdagelse av feil ved beregninger. PBL viser for øvrig til forvaltningslovens § 37 som har bestemmelser om forhåndsvarsling.    </w:t>
      </w:r>
    </w:p>
    <w:p w14:paraId="305D1D50"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7F3A4287"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4 Dokumentasjon på beregningen  </w:t>
      </w:r>
    </w:p>
    <w:p w14:paraId="79172548" w14:textId="77777777" w:rsidR="003E095F" w:rsidRPr="003E095F" w:rsidRDefault="003E095F" w:rsidP="003E095F">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Bestemmelsen har ikke noe rettslig innhold, og kan tas ut av forskriften. Informasjonen hører bedre til i saksforberedende dokumenter til forskriften.  </w:t>
      </w:r>
    </w:p>
    <w:p w14:paraId="07FE3F42"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3FCD8372"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5 Enkeltvedtak om kommunalt tilskudd  </w:t>
      </w:r>
    </w:p>
    <w:p w14:paraId="4A38764B" w14:textId="77777777" w:rsidR="003E095F" w:rsidRPr="003E095F" w:rsidRDefault="003E095F" w:rsidP="003E095F">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PBL har ingen merknader til bestemmelsen.  </w:t>
      </w:r>
    </w:p>
    <w:p w14:paraId="731EF8D4" w14:textId="77777777" w:rsidR="003E095F" w:rsidRPr="003E095F" w:rsidRDefault="003E095F" w:rsidP="003E095F">
      <w:pPr>
        <w:spacing w:before="100" w:beforeAutospacing="1" w:after="100" w:afterAutospacing="1" w:line="240" w:lineRule="auto"/>
        <w:rPr>
          <w:rFonts w:ascii="Times New Roman" w:eastAsia="Times New Roman" w:hAnsi="Times New Roman" w:cs="Times New Roman"/>
          <w:sz w:val="24"/>
          <w:szCs w:val="24"/>
          <w:lang w:eastAsia="nb-NO"/>
        </w:rPr>
      </w:pPr>
      <w:r w:rsidRPr="003E095F">
        <w:rPr>
          <w:rFonts w:ascii="Times New Roman" w:eastAsia="Times New Roman" w:hAnsi="Times New Roman" w:cs="Times New Roman"/>
          <w:sz w:val="24"/>
          <w:szCs w:val="24"/>
          <w:lang w:eastAsia="nb-NO"/>
        </w:rPr>
        <w:t>  </w:t>
      </w:r>
    </w:p>
    <w:p w14:paraId="3D106A89" w14:textId="3109D8C0" w:rsidR="006C379D" w:rsidRDefault="003E095F">
      <w:r>
        <w:t>På vegne av Hauka Villmarksbarnehage</w:t>
      </w:r>
      <w:r w:rsidR="00341417">
        <w:t xml:space="preserve"> og PBL</w:t>
      </w:r>
    </w:p>
    <w:p w14:paraId="6F23D076" w14:textId="1940BD93" w:rsidR="003E095F" w:rsidRDefault="003E095F">
      <w:r>
        <w:t xml:space="preserve">Eli Skjerve Heggvold, styrer. </w:t>
      </w:r>
    </w:p>
    <w:sectPr w:rsidR="003E09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09E1"/>
    <w:multiLevelType w:val="multilevel"/>
    <w:tmpl w:val="8232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D07911"/>
    <w:multiLevelType w:val="multilevel"/>
    <w:tmpl w:val="B71C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E15AA8"/>
    <w:multiLevelType w:val="multilevel"/>
    <w:tmpl w:val="340C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4E70C9"/>
    <w:multiLevelType w:val="multilevel"/>
    <w:tmpl w:val="1ADA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532C9F"/>
    <w:multiLevelType w:val="multilevel"/>
    <w:tmpl w:val="FEA2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2B1AF9"/>
    <w:multiLevelType w:val="multilevel"/>
    <w:tmpl w:val="F7EA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965049"/>
    <w:multiLevelType w:val="multilevel"/>
    <w:tmpl w:val="72FE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5220448">
    <w:abstractNumId w:val="2"/>
  </w:num>
  <w:num w:numId="2" w16cid:durableId="1483472934">
    <w:abstractNumId w:val="1"/>
  </w:num>
  <w:num w:numId="3" w16cid:durableId="614212164">
    <w:abstractNumId w:val="6"/>
  </w:num>
  <w:num w:numId="4" w16cid:durableId="394817041">
    <w:abstractNumId w:val="4"/>
  </w:num>
  <w:num w:numId="5" w16cid:durableId="1013803849">
    <w:abstractNumId w:val="5"/>
  </w:num>
  <w:num w:numId="6" w16cid:durableId="852916453">
    <w:abstractNumId w:val="0"/>
  </w:num>
  <w:num w:numId="7" w16cid:durableId="675961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95F"/>
    <w:rsid w:val="002253FE"/>
    <w:rsid w:val="00341417"/>
    <w:rsid w:val="003E095F"/>
    <w:rsid w:val="006C379D"/>
    <w:rsid w:val="008E512B"/>
    <w:rsid w:val="009928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7F91"/>
  <w15:chartTrackingRefBased/>
  <w15:docId w15:val="{CEDB54A2-C841-4F32-9A46-98EF0FF7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E0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E0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E095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E095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E095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E095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095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E095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095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E095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E095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E095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E095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E095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E095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E095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E095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E095F"/>
    <w:rPr>
      <w:rFonts w:eastAsiaTheme="majorEastAsia" w:cstheme="majorBidi"/>
      <w:color w:val="272727" w:themeColor="text1" w:themeTint="D8"/>
    </w:rPr>
  </w:style>
  <w:style w:type="paragraph" w:styleId="Tittel">
    <w:name w:val="Title"/>
    <w:basedOn w:val="Normal"/>
    <w:next w:val="Normal"/>
    <w:link w:val="TittelTegn"/>
    <w:uiPriority w:val="10"/>
    <w:qFormat/>
    <w:rsid w:val="003E0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E095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E095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E095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E095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E095F"/>
    <w:rPr>
      <w:i/>
      <w:iCs/>
      <w:color w:val="404040" w:themeColor="text1" w:themeTint="BF"/>
    </w:rPr>
  </w:style>
  <w:style w:type="paragraph" w:styleId="Listeavsnitt">
    <w:name w:val="List Paragraph"/>
    <w:basedOn w:val="Normal"/>
    <w:uiPriority w:val="34"/>
    <w:qFormat/>
    <w:rsid w:val="003E095F"/>
    <w:pPr>
      <w:ind w:left="720"/>
      <w:contextualSpacing/>
    </w:pPr>
  </w:style>
  <w:style w:type="character" w:styleId="Sterkutheving">
    <w:name w:val="Intense Emphasis"/>
    <w:basedOn w:val="Standardskriftforavsnitt"/>
    <w:uiPriority w:val="21"/>
    <w:qFormat/>
    <w:rsid w:val="003E095F"/>
    <w:rPr>
      <w:i/>
      <w:iCs/>
      <w:color w:val="0F4761" w:themeColor="accent1" w:themeShade="BF"/>
    </w:rPr>
  </w:style>
  <w:style w:type="paragraph" w:styleId="Sterktsitat">
    <w:name w:val="Intense Quote"/>
    <w:basedOn w:val="Normal"/>
    <w:next w:val="Normal"/>
    <w:link w:val="SterktsitatTegn"/>
    <w:uiPriority w:val="30"/>
    <w:qFormat/>
    <w:rsid w:val="003E0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E095F"/>
    <w:rPr>
      <w:i/>
      <w:iCs/>
      <w:color w:val="0F4761" w:themeColor="accent1" w:themeShade="BF"/>
    </w:rPr>
  </w:style>
  <w:style w:type="character" w:styleId="Sterkreferanse">
    <w:name w:val="Intense Reference"/>
    <w:basedOn w:val="Standardskriftforavsnitt"/>
    <w:uiPriority w:val="32"/>
    <w:qFormat/>
    <w:rsid w:val="003E09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1028</Words>
  <Characters>5452</Characters>
  <Application>Microsoft Office Word</Application>
  <DocSecurity>0</DocSecurity>
  <Lines>45</Lines>
  <Paragraphs>12</Paragraphs>
  <ScaleCrop>false</ScaleCrop>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hauka.villmarksbarnehage</dc:creator>
  <cp:keywords/>
  <dc:description/>
  <cp:lastModifiedBy>hauka.villmarksbarnehage</cp:lastModifiedBy>
  <cp:revision>2</cp:revision>
  <dcterms:created xsi:type="dcterms:W3CDTF">2026-09-18T11:29:00Z</dcterms:created>
  <dcterms:modified xsi:type="dcterms:W3CDTF">2026-09-18T16:30:00Z</dcterms:modified>
</cp:coreProperties>
</file>