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26/3776</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Morten Ødegaard</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27.03.2026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Rapportering investeringsprosjekter Miljø og Byutvikling 03/26</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03/26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14.04.2026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Rapportering på større investeringsprosjekter, slik det framgår av saken, tas til orientering.</w:t>
              </w:r>
            </w:p>
            <w:p>
              <w:pPr>
                <w:spacing w:after="160"/>
              </w:pPr>
              <w:r>
                <w:t xml:space="preserve"> </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Det rapporteres på investeringsprosjekter til relevant utvalg ut ifra det tjenesteområde prosjektet sorterer under. De nedenstående prosjektene faller ikke inn under andre fagutvalg, og rapporten går derfor til det utvalget som har Bygg- og eiendomsdrift under sitt ansvarsområde. Siste rapport ble gitt i møte 17.03.2025, OS 02/26.</w:t>
              </w:r>
            </w:p>
          </w:sdtContent>
        </w:sdt>
        <w:sdt>
          <w:sdtPr>
            <w:alias w:val="SaksTekst"/>
            <w:tag w:val="SaksTekst"/>
            <w:id w:val="-1309477531"/>
          </w:sdtPr>
          <w:sdtContent>
            <w:p>
              <w:pPr>
                <w:spacing w:after="160"/>
              </w:pPr>
              <w:r>
                <w:rPr>
                  <w:b/>
                </w:rPr>
                <w:t xml:space="preserve">Saksfremstilling</w:t>
              </w:r>
            </w:p>
            <w:p>
              <w:pPr>
                <w:spacing w:after="160"/>
              </w:pPr>
              <w:r>
                <w:rPr>
                  <w:b/>
                </w:rPr>
                <w:t xml:space="preserve">Rapport enkeltprosjekter:</w:t>
              </w:r>
            </w:p>
            <w:tbl>
              <w:tblPr>
                <w:tblStyle w:val="TableGrid"/>
                <w:tblW w:w="9000" w:type="dxa"/>
                <w:tblBorders>
                  <w:top w:val="none" w:color="000000" w:sz="0"/>
                  <w:left w:val="none" w:color="000000" w:sz="0"/>
                  <w:bottom w:val="none" w:color="000000" w:sz="0"/>
                  <w:right w:val="none" w:color="000000" w:sz="0"/>
                </w:tblBorders>
                <w:tblLayout w:type="fixed"/>
                <w:tblLook w:firstRow="false" w:lastRow="false" w:firstColumn="false" w:lastColumn="false"/>
              </w:tblPr>
              <w:tblGrid>
                <w:gridCol w:w="2998.8"/>
                <w:gridCol w:w="6001.200000000001"/>
              </w:tblGrid>
              <w:tr>
                <w:trPr>
                  <w:tblCellSpacing w:w="0" w:type="dxa"/>
                </w:trPr>
                <w:tc>
                  <w:tcPr>
                    <w:tcW w:w="9560" w:type="auto"/>
                    <w:gridSpan w:val="2"/>
                    <w:tcMar>
                      <w:left w:w="108" w:type="dxa"/>
                      <w:right w:w="108" w:type="dxa"/>
                    </w:tcMar>
                    <w:vAlign w:val="center"/>
                  </w:tcPr>
                  <w:p>
                    <w:pPr>
                      <w:spacing w:after="160"/>
                    </w:pPr>
                    <w:r>
                      <w:rPr>
                        <w:b/>
                      </w:rPr>
                      <w:t xml:space="preserve">Ny GS-bru over Porsgrunnselva - Moldhaugbrua</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Omfang: Bygge gang- og sykkelbru fra Storvegen på Vestsiden til Reynoldsparken på Østsiden.</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Prosjektfase: Gjennomføring (bygging)</w:t>
                    </w:r>
                  </w:p>
                </w:tc>
              </w:tr>
              <w:tr>
                <w:trPr>
                  <w:tblCellSpacing w:w="0" w:type="dxa"/>
                </w:trPr>
                <w:tc>
                  <w:tcPr>
                    <w:tcW w:w="466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Budsjett: 205 MNOK (Prisregulert pr. 12/24)</w:t>
                    </w:r>
                  </w:p>
                </w:tc>
                <w:tc>
                  <w:tcPr>
                    <w:tcW w:w="49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Prognose: 205 MNOK</w:t>
                    </w:r>
                  </w:p>
                </w:tc>
              </w:tr>
              <w:tr>
                <w:trPr>
                  <w:tblCellSpacing w:w="0" w:type="dxa"/>
                </w:trPr>
                <w:tc>
                  <w:tcPr>
                    <w:tcW w:w="9560" w:type="auto"/>
                    <w:gridSpan w:val="2"/>
                    <w:tcBorders>
                      <w:top w:val="none" w:color="000000" w:sz="0"/>
                      <w:left w:val="single" w:color="000000" w:sz="4"/>
                      <w:bottom w:val="none" w:color="000000" w:sz="0"/>
                      <w:right w:val="single" w:color="000000" w:sz="4"/>
                    </w:tcBorders>
                    <w:tcMar>
                      <w:left w:w="108" w:type="dxa"/>
                      <w:right w:w="108" w:type="dxa"/>
                    </w:tcMar>
                    <w:vAlign w:val="top"/>
                  </w:tcPr>
                  <w:p>
                    <w:pPr>
                      <w:spacing w:after="160"/>
                    </w:pPr>
                    <w:r>
                      <w:t xml:space="preserve">Framdrift: Kantdragere støpt ferdig. Klargjøring for montering av bruklaffer pågår. Begge bruklaffene ligger nå på kai i Larvik. Klaff nummer to er under sammenstilling. Tidspunkt for montering av klaffer er ikke endelig fastsatt, men forventes gjennomført i slutten av april/ begynnelsen av mai. Det er grunn til å tro at ferdigstilling av brua vil bli forskjøvet til over sommerferien.</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drawing>
                        <wp:inline distT="0" distB="0" distL="0" distR="0">
                          <wp:extent cx="5562600" cy="1333500"/>
                          <wp:effectExtent l="19050" t="0" r="0" b="0"/>
                          <wp:docPr id="4"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dea24c41a1ce4dea"/>
                                  <a:srcRect/>
                                  <a:stretch>
                                    <a:fillRect/>
                                  </a:stretch>
                                </pic:blipFill>
                                <pic:spPr bwMode="auto">
                                  <a:xfrm>
                                    <a:off x="0" y="0"/>
                                    <a:ext cx="5562600" cy="1333500"/>
                                  </a:xfrm>
                                  <a:prstGeom prst="rect">
                                    <a:avLst/>
                                  </a:prstGeom>
                                </pic:spPr>
                              </pic:pic>
                            </a:graphicData>
                          </a:graphic>
                        </wp:inline>
                      </w:drawing>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Økonomi: Krav mot rådgiver om erstatning etter prosjekteringsfeil er løst i minnelighet.</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SHA/ HMS: Ingen relevante forhold</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Øvrige kommentarer: Kystverket har akseptert at farleden kan stenges også i den nærmeste tiden etter 01.05.2026 dersom det blir nødvendig.</w:t>
                    </w:r>
                  </w:p>
                </w:tc>
              </w:tr>
            </w:tbl>
            <w:p>
              <w:pPr>
                <w:spacing w:after="160"/>
              </w:pPr>
              <w:r>
                <w:rPr>
                  <w:b/>
                </w:rPr>
                <w:t xml:space="preserve"> </w:t>
              </w:r>
            </w:p>
            <w:tbl>
              <w:tblPr>
                <w:tblStyle w:val="TableGrid"/>
                <w:tblW w:w="0" w:type="auto"/>
                <w:tblBorders>
                  <w:top w:val="none" w:color="000000" w:sz="0"/>
                  <w:left w:val="none" w:color="000000" w:sz="0"/>
                  <w:bottom w:val="none" w:color="000000" w:sz="0"/>
                  <w:right w:val="none" w:color="000000" w:sz="0"/>
                </w:tblBorders>
                <w:tblLook w:firstRow="false" w:lastRow="false" w:firstColumn="false" w:lastColumn="false"/>
              </w:tblPr>
              <w:tblGrid>
                <w:gridCol/>
                <w:gridCol/>
              </w:tblGrid>
              <w:tr>
                <w:trPr>
                  <w:tblCellSpacing w:w="0" w:type="dxa"/>
                </w:trPr>
                <w:tc>
                  <w:tcPr>
                    <w:tcW w:w="9560" w:type="auto"/>
                    <w:gridSpan w:val="2"/>
                    <w:tcMar>
                      <w:left w:w="108" w:type="dxa"/>
                      <w:right w:w="108" w:type="dxa"/>
                    </w:tcMar>
                    <w:vAlign w:val="center"/>
                  </w:tcPr>
                  <w:p>
                    <w:pPr>
                      <w:spacing w:after="160"/>
                    </w:pPr>
                    <w:r>
                      <w:rPr>
                        <w:b/>
                      </w:rPr>
                      <w:t xml:space="preserve">Østre brygge</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Omfang: Rehabilitere kaifront fra Stangsgate til Reynoldsparken.</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Prosjektfase: Planlegging</w:t>
                    </w:r>
                  </w:p>
                </w:tc>
              </w:tr>
              <w:tr>
                <w:trPr>
                  <w:tblCellSpacing w:w="0" w:type="dxa"/>
                </w:trPr>
                <w:tc>
                  <w:tcPr>
                    <w:tcW w:w="466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Budsjett: 280 MNOK (HP 2026 – 2029)</w:t>
                    </w:r>
                  </w:p>
                </w:tc>
                <w:tc>
                  <w:tcPr>
                    <w:tcW w:w="49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Prognose: 280 MNOK</w:t>
                    </w:r>
                  </w:p>
                </w:tc>
              </w:tr>
              <w:tr>
                <w:trPr>
                  <w:tblCellSpacing w:w="0" w:type="dxa"/>
                </w:trPr>
                <w:tc>
                  <w:tcPr>
                    <w:tcW w:w="9560" w:type="auto"/>
                    <w:gridSpan w:val="2"/>
                    <w:tcBorders>
                      <w:top w:val="none" w:color="000000" w:sz="0"/>
                      <w:left w:val="single" w:color="000000" w:sz="4"/>
                      <w:bottom w:val="none" w:color="000000" w:sz="0"/>
                      <w:right w:val="single" w:color="000000" w:sz="4"/>
                    </w:tcBorders>
                    <w:tcMar>
                      <w:left w:w="108" w:type="dxa"/>
                      <w:right w:w="108" w:type="dxa"/>
                    </w:tcMar>
                    <w:vAlign w:val="top"/>
                  </w:tcPr>
                  <w:p>
                    <w:pPr>
                      <w:spacing w:after="160"/>
                    </w:pPr>
                    <w:r>
                      <w:t xml:space="preserve">Framdrift: Samspillsprosess pågår. Investeringsbeslutning (B2) antas fremmet mot slutten av året. Oppstart regulering er kunngjort, og reguleringsprosess pågår parallelt med planleggingen. Et endelig reguleringsvedtak  er antagelig minst 12 måneder fram i tid. </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drawing>
                        <wp:inline distT="0" distB="0" distL="0" distR="0">
                          <wp:extent cx="5514975" cy="1323975"/>
                          <wp:effectExtent l="19050" t="0" r="0" b="0"/>
                          <wp:docPr id="5"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7de303236d3f43c8"/>
                                  <a:srcRect/>
                                  <a:stretch>
                                    <a:fillRect/>
                                  </a:stretch>
                                </pic:blipFill>
                                <pic:spPr bwMode="auto">
                                  <a:xfrm>
                                    <a:off x="0" y="0"/>
                                    <a:ext cx="5514975" cy="1323975"/>
                                  </a:xfrm>
                                  <a:prstGeom prst="rect">
                                    <a:avLst/>
                                  </a:prstGeom>
                                </pic:spPr>
                              </pic:pic>
                            </a:graphicData>
                          </a:graphic>
                        </wp:inline>
                      </w:drawing>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Økonomi: Prognosen gjenspeiler kalkulert investeringsbehov knyttet til gjennomføring av det valgte konseptet. Tiltaket vil kunne få et betydelig økonomisk tilskudd fra Bypakke Grenland.</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SHA/ HMS: Ingen relevante forhold</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Øvrige kommentarer:</w:t>
                    </w:r>
                  </w:p>
                </w:tc>
              </w:tr>
            </w:tbl>
            <w:p>
              <w:pPr>
                <w:spacing w:after="160"/>
              </w:pPr>
              <w:r>
                <w:rPr>
                  <w:b/>
                </w:rPr>
                <w:t xml:space="preserve"> </w:t>
              </w:r>
            </w:p>
            <w:tbl>
              <w:tblPr>
                <w:tblStyle w:val="TableGrid"/>
                <w:tblW w:w="0" w:type="auto"/>
                <w:tblBorders>
                  <w:top w:val="none" w:color="000000" w:sz="0"/>
                  <w:left w:val="none" w:color="000000" w:sz="0"/>
                  <w:bottom w:val="none" w:color="000000" w:sz="0"/>
                  <w:right w:val="none" w:color="000000" w:sz="0"/>
                </w:tblBorders>
                <w:tblLook w:firstRow="false" w:lastRow="false" w:firstColumn="false" w:lastColumn="false"/>
              </w:tblPr>
              <w:tblGrid>
                <w:gridCol/>
                <w:gridCol/>
              </w:tblGrid>
              <w:tr>
                <w:trPr>
                  <w:tblCellSpacing w:w="0" w:type="dxa"/>
                </w:trPr>
                <w:tc>
                  <w:tcPr>
                    <w:tcW w:w="9560" w:type="auto"/>
                    <w:gridSpan w:val="2"/>
                    <w:tcMar>
                      <w:left w:w="108" w:type="dxa"/>
                      <w:right w:w="108" w:type="dxa"/>
                    </w:tcMar>
                    <w:vAlign w:val="center"/>
                  </w:tcPr>
                  <w:p>
                    <w:pPr>
                      <w:spacing w:after="160"/>
                    </w:pPr>
                    <w:r>
                      <w:rPr>
                        <w:b/>
                      </w:rPr>
                      <w:t xml:space="preserve">Sprinkling Rådhuset</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Omfang: Etablere vanntåkeanlegg i resterende del av rådhuset.</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Prosjektfase: Sluttfase</w:t>
                    </w:r>
                  </w:p>
                </w:tc>
              </w:tr>
              <w:tr>
                <w:trPr>
                  <w:tblCellSpacing w:w="0" w:type="dxa"/>
                </w:trPr>
                <w:tc>
                  <w:tcPr>
                    <w:tcW w:w="466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Budsjett: 7 MNOK (HP 2025 – 2028)</w:t>
                    </w:r>
                  </w:p>
                </w:tc>
                <w:tc>
                  <w:tcPr>
                    <w:tcW w:w="49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Prognose: 7 MNOK</w:t>
                    </w:r>
                  </w:p>
                </w:tc>
              </w:tr>
              <w:tr>
                <w:trPr>
                  <w:tblCellSpacing w:w="0" w:type="dxa"/>
                </w:trPr>
                <w:tc>
                  <w:tcPr>
                    <w:tcW w:w="9560" w:type="auto"/>
                    <w:gridSpan w:val="2"/>
                    <w:tcBorders>
                      <w:top w:val="none" w:color="000000" w:sz="0"/>
                      <w:left w:val="single" w:color="000000" w:sz="4"/>
                      <w:bottom w:val="none" w:color="000000" w:sz="0"/>
                      <w:right w:val="single" w:color="000000" w:sz="4"/>
                    </w:tcBorders>
                    <w:tcMar>
                      <w:left w:w="108" w:type="dxa"/>
                      <w:right w:w="108" w:type="dxa"/>
                    </w:tcMar>
                    <w:vAlign w:val="top"/>
                  </w:tcPr>
                  <w:p>
                    <w:pPr>
                      <w:spacing w:after="160"/>
                    </w:pPr>
                    <w:r>
                      <w:t xml:space="preserve">Framdrift: Sluttoppgjør er ferdig.</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drawing>
                        <wp:inline distT="0" distB="0" distL="0" distR="0">
                          <wp:extent cx="5524500" cy="1228725"/>
                          <wp:effectExtent l="19050" t="0" r="0" b="0"/>
                          <wp:docPr id="6" name="Picture 4" descr=""/>
                          <wp:cNvGraphicFramePr>
                            <a:graphicFrameLocks noChangeAspect="1"/>
                          </wp:cNvGraphicFramePr>
                          <a:graphic>
                            <a:graphicData uri="http://schemas.openxmlformats.org/drawingml/2006/picture">
                              <pic:pic>
                                <pic:nvPicPr>
                                  <pic:cNvPr id="4" name="" descr=""/>
                                  <pic:cNvPicPr>
                                    <a:picLocks noChangeAspect="1" noChangeArrowheads="1"/>
                                  </pic:cNvPicPr>
                                </pic:nvPicPr>
                                <pic:blipFill>
                                  <a:blip r:embed="R8a0f65459a284764"/>
                                  <a:srcRect/>
                                  <a:stretch>
                                    <a:fillRect/>
                                  </a:stretch>
                                </pic:blipFill>
                                <pic:spPr bwMode="auto">
                                  <a:xfrm>
                                    <a:off x="0" y="0"/>
                                    <a:ext cx="5524500" cy="1228725"/>
                                  </a:xfrm>
                                  <a:prstGeom prst="rect">
                                    <a:avLst/>
                                  </a:prstGeom>
                                </pic:spPr>
                              </pic:pic>
                            </a:graphicData>
                          </a:graphic>
                        </wp:inline>
                      </w:drawing>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Økonomi: Ferdigstilling var forsinket, og leverandører pådro seg dagmulkt. Prosjektet er gjennomført innenfor avsatt budsjettramme.</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SHA/ HMS: Ingen relevante forhold</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Øvrige kommentarer: Prosjektet tas ut av rapporteringen.</w:t>
                    </w:r>
                  </w:p>
                </w:tc>
              </w:tr>
            </w:tbl>
            <w:p>
              <w:pPr>
                <w:spacing w:after="160"/>
              </w:pPr>
              <w:r>
                <w:rPr>
                  <w:b/>
                </w:rPr>
                <w:t xml:space="preserve"> </w:t>
              </w:r>
            </w:p>
            <w:tbl>
              <w:tblPr>
                <w:tblStyle w:val="TableGrid"/>
                <w:tblW w:w="0" w:type="auto"/>
                <w:tblBorders>
                  <w:top w:val="none" w:color="000000" w:sz="0"/>
                  <w:left w:val="none" w:color="000000" w:sz="0"/>
                  <w:bottom w:val="none" w:color="000000" w:sz="0"/>
                  <w:right w:val="none" w:color="000000" w:sz="0"/>
                </w:tblBorders>
                <w:tblLook w:firstRow="false" w:lastRow="false" w:firstColumn="false" w:lastColumn="false"/>
              </w:tblPr>
              <w:tblGrid>
                <w:gridCol/>
                <w:gridCol/>
              </w:tblGrid>
              <w:tr>
                <w:trPr>
                  <w:tblCellSpacing w:w="0" w:type="dxa"/>
                </w:trPr>
                <w:tc>
                  <w:tcPr>
                    <w:tcW w:w="9560" w:type="auto"/>
                    <w:gridSpan w:val="2"/>
                    <w:tcMar>
                      <w:left w:w="108" w:type="dxa"/>
                      <w:right w:w="108" w:type="dxa"/>
                    </w:tcMar>
                    <w:vAlign w:val="center"/>
                  </w:tcPr>
                  <w:p>
                    <w:pPr>
                      <w:spacing w:after="160"/>
                    </w:pPr>
                    <w:r>
                      <w:rPr>
                        <w:b/>
                      </w:rPr>
                      <w:t xml:space="preserve">Arealeffektivisering i sentrum</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Omfang: Forbedre og effektivisere kontorfasiliteter i sentrum.</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Prosjektfase: Bestilling/ utredning</w:t>
                    </w:r>
                  </w:p>
                </w:tc>
              </w:tr>
              <w:tr>
                <w:trPr>
                  <w:tblCellSpacing w:w="0" w:type="dxa"/>
                </w:trPr>
                <w:tc>
                  <w:tcPr>
                    <w:tcW w:w="466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Budsjett: 171 MNOK (HP 2026 – 2029)</w:t>
                    </w:r>
                  </w:p>
                </w:tc>
                <w:tc>
                  <w:tcPr>
                    <w:tcW w:w="49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Prognose: 171 MNOK</w:t>
                    </w:r>
                  </w:p>
                </w:tc>
              </w:tr>
              <w:tr>
                <w:trPr>
                  <w:tblCellSpacing w:w="0" w:type="dxa"/>
                </w:trPr>
                <w:tc>
                  <w:tcPr>
                    <w:tcW w:w="9560" w:type="auto"/>
                    <w:gridSpan w:val="2"/>
                    <w:tcBorders>
                      <w:top w:val="none" w:color="000000" w:sz="0"/>
                      <w:left w:val="single" w:color="000000" w:sz="4"/>
                      <w:bottom w:val="none" w:color="000000" w:sz="0"/>
                      <w:right w:val="single" w:color="000000" w:sz="4"/>
                    </w:tcBorders>
                    <w:tcMar>
                      <w:left w:w="108" w:type="dxa"/>
                      <w:right w:w="108" w:type="dxa"/>
                    </w:tcMar>
                    <w:vAlign w:val="top"/>
                  </w:tcPr>
                  <w:p>
                    <w:pPr>
                      <w:spacing w:after="160"/>
                    </w:pPr>
                    <w:r>
                      <w:t xml:space="preserve">Framdrift: Sak B0 fremmes for politisk behandling i dette møtet, ref. bystyrets verbalvedtak pkt. 32, og sluttbehandles i bystyret.</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drawing>
                        <wp:inline distT="0" distB="0" distL="0" distR="0">
                          <wp:extent cx="5524500" cy="1371600"/>
                          <wp:effectExtent l="19050" t="0" r="0" b="0"/>
                          <wp:docPr id="7" name="Picture 5" descr=""/>
                          <wp:cNvGraphicFramePr>
                            <a:graphicFrameLocks noChangeAspect="1"/>
                          </wp:cNvGraphicFramePr>
                          <a:graphic>
                            <a:graphicData uri="http://schemas.openxmlformats.org/drawingml/2006/picture">
                              <pic:pic>
                                <pic:nvPicPr>
                                  <pic:cNvPr id="5" name="" descr=""/>
                                  <pic:cNvPicPr>
                                    <a:picLocks noChangeAspect="1" noChangeArrowheads="1"/>
                                  </pic:cNvPicPr>
                                </pic:nvPicPr>
                                <pic:blipFill>
                                  <a:blip r:embed="Ra8b2c1141b95463d"/>
                                  <a:srcRect/>
                                  <a:stretch>
                                    <a:fillRect/>
                                  </a:stretch>
                                </pic:blipFill>
                                <pic:spPr bwMode="auto">
                                  <a:xfrm>
                                    <a:off x="0" y="0"/>
                                    <a:ext cx="5524500" cy="1371600"/>
                                  </a:xfrm>
                                  <a:prstGeom prst="rect">
                                    <a:avLst/>
                                  </a:prstGeom>
                                </pic:spPr>
                              </pic:pic>
                            </a:graphicData>
                          </a:graphic>
                        </wp:inline>
                      </w:drawing>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Økonomi: Prognosen reflekterer kun avsetningen i HP 2026 - 2029.</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SHA/ HMS: Ingen relevante forhold</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Øvrige kommentarer:</w:t>
                    </w:r>
                  </w:p>
                </w:tc>
              </w:tr>
            </w:tbl>
            <w:p>
              <w:pPr>
                <w:spacing w:after="160"/>
              </w:pPr>
              <w:r>
                <w:rPr>
                  <w:b/>
                </w:rPr>
                <w:t xml:space="preserve"> </w:t>
              </w:r>
            </w:p>
            <w:tbl>
              <w:tblPr>
                <w:tblStyle w:val="TableGrid"/>
                <w:tblW w:w="0" w:type="auto"/>
                <w:tblBorders>
                  <w:top w:val="none" w:color="000000" w:sz="0"/>
                  <w:left w:val="none" w:color="000000" w:sz="0"/>
                  <w:bottom w:val="none" w:color="000000" w:sz="0"/>
                  <w:right w:val="none" w:color="000000" w:sz="0"/>
                </w:tblBorders>
                <w:tblLook w:firstRow="false" w:lastRow="false" w:firstColumn="false" w:lastColumn="false"/>
              </w:tblPr>
              <w:tblGrid>
                <w:gridCol/>
                <w:gridCol/>
              </w:tblGrid>
              <w:tr>
                <w:trPr>
                  <w:tblCellSpacing w:w="0" w:type="dxa"/>
                </w:trPr>
                <w:tc>
                  <w:tcPr>
                    <w:tcW w:w="9560" w:type="auto"/>
                    <w:gridSpan w:val="2"/>
                    <w:tcMar>
                      <w:left w:w="108" w:type="dxa"/>
                      <w:right w:w="108" w:type="dxa"/>
                    </w:tcMar>
                    <w:vAlign w:val="center"/>
                  </w:tcPr>
                  <w:p>
                    <w:pPr>
                      <w:spacing w:after="160"/>
                    </w:pPr>
                    <w:r>
                      <w:rPr>
                        <w:b/>
                      </w:rPr>
                      <w:t xml:space="preserve">Utvidelse av fellesvaskeriet</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Omfang: Bygging av nytt sykehjem medfører at kapasiteten til vaskeriet på Frednes må økes.</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Prosjektfase: Utredning</w:t>
                    </w:r>
                  </w:p>
                </w:tc>
              </w:tr>
              <w:tr>
                <w:trPr>
                  <w:tblCellSpacing w:w="0" w:type="dxa"/>
                </w:trPr>
                <w:tc>
                  <w:tcPr>
                    <w:tcW w:w="466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Budsjett: 10 MNOK (HP 2026 – 2029)</w:t>
                    </w:r>
                  </w:p>
                </w:tc>
                <w:tc>
                  <w:tcPr>
                    <w:tcW w:w="490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Prognose: 10 MNOK</w:t>
                    </w:r>
                  </w:p>
                </w:tc>
              </w:tr>
              <w:tr>
                <w:trPr>
                  <w:tblCellSpacing w:w="0" w:type="dxa"/>
                </w:trPr>
                <w:tc>
                  <w:tcPr>
                    <w:tcW w:w="9560" w:type="auto"/>
                    <w:gridSpan w:val="2"/>
                    <w:tcBorders>
                      <w:top w:val="none" w:color="000000" w:sz="0"/>
                      <w:left w:val="single" w:color="000000" w:sz="4"/>
                      <w:bottom w:val="none" w:color="000000" w:sz="0"/>
                      <w:right w:val="single" w:color="000000" w:sz="4"/>
                    </w:tcBorders>
                    <w:tcMar>
                      <w:left w:w="108" w:type="dxa"/>
                      <w:right w:w="108" w:type="dxa"/>
                    </w:tcMar>
                    <w:vAlign w:val="top"/>
                  </w:tcPr>
                  <w:p>
                    <w:pPr>
                      <w:spacing w:after="160"/>
                    </w:pPr>
                    <w:r>
                      <w:t xml:space="preserve">Framdrift: Utredning pågår. Behovskartlegging foreligger. Politisk sak (B1) forventes fremmet i mai.</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drawing>
                        <wp:inline distT="0" distB="0" distL="0" distR="0">
                          <wp:extent cx="5534025" cy="1323975"/>
                          <wp:effectExtent l="19050" t="0" r="0" b="0"/>
                          <wp:docPr id="8" name="Picture 6" descr=""/>
                          <wp:cNvGraphicFramePr>
                            <a:graphicFrameLocks noChangeAspect="1"/>
                          </wp:cNvGraphicFramePr>
                          <a:graphic>
                            <a:graphicData uri="http://schemas.openxmlformats.org/drawingml/2006/picture">
                              <pic:pic>
                                <pic:nvPicPr>
                                  <pic:cNvPr id="6" name="" descr=""/>
                                  <pic:cNvPicPr>
                                    <a:picLocks noChangeAspect="1" noChangeArrowheads="1"/>
                                  </pic:cNvPicPr>
                                </pic:nvPicPr>
                                <pic:blipFill>
                                  <a:blip r:embed="R8d5288e5533d45e1"/>
                                  <a:srcRect/>
                                  <a:stretch>
                                    <a:fillRect/>
                                  </a:stretch>
                                </pic:blipFill>
                                <pic:spPr bwMode="auto">
                                  <a:xfrm>
                                    <a:off x="0" y="0"/>
                                    <a:ext cx="5534025" cy="1323975"/>
                                  </a:xfrm>
                                  <a:prstGeom prst="rect">
                                    <a:avLst/>
                                  </a:prstGeom>
                                </pic:spPr>
                              </pic:pic>
                            </a:graphicData>
                          </a:graphic>
                        </wp:inline>
                      </w:drawing>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Økonomi:</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SHA/ HMS: Ingen relevante forhold</w:t>
                    </w:r>
                  </w:p>
                </w:tc>
              </w:tr>
              <w:tr>
                <w:trPr>
                  <w:tblCellSpacing w:w="0" w:type="dxa"/>
                </w:trPr>
                <w:tc>
                  <w:tcPr>
                    <w:tcW w:w="9560" w:type="auto"/>
                    <w:gridSpan w:val="2"/>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Øvrige kommentarer:</w:t>
                    </w:r>
                  </w:p>
                </w:tc>
              </w:tr>
            </w:tbl>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image" Target="/media/image.jpg" Id="Rdea24c41a1ce4dea" /><Relationship Type="http://schemas.openxmlformats.org/officeDocument/2006/relationships/image" Target="/media/image2.jpg" Id="R7de303236d3f43c8" /><Relationship Type="http://schemas.openxmlformats.org/officeDocument/2006/relationships/image" Target="/media/image3.jpg" Id="R8a0f65459a284764" /><Relationship Type="http://schemas.openxmlformats.org/officeDocument/2006/relationships/image" Target="/media/image4.jpg" Id="Ra8b2c1141b95463d" /><Relationship Type="http://schemas.openxmlformats.org/officeDocument/2006/relationships/image" Target="/media/image5.jpg" Id="R8d5288e5533d45e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Rapportering investeringsprosjekter Miljø og Byutvikling 03/26</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