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26/3712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Morten Ødegaard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Rapportering investeringsprosjekter Barn, Unge og Kultur 03/26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15.04.2026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Rapportering på større investeringsprosjekter, slik det framgår av saken, tas til orientering.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Det rapporteres på investeringsprosjekter til relevant utvalg ut ifra det tjenesteområde prosjektet sorterer under. Siste rapport ble gitt i møte 18.03.2026, OS 03/26.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Rapport enkeltprosjekter:</w:t>
              </w: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Basishall Kjølnes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Ombygging av den gamle svømmehallen på Kjølnes til ny basishall for trening.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Gjennomføring (detaljprosjektering og bygging)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54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49,4 MNOK (HP 2025 – 2028 med justering 1. tertialrapport 2025)</w:t>
                    </w:r>
                  </w:p>
                </w:tc>
                <w:tc>
                  <w:tcPr>
                    <w:tcW w:w="484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40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Rivearbeider i sluttfase. Bassengkropp er fylt opp med løs leca. Tømrer- elektro- og rørarbeider er igangsatt. Det er ikke avdekket ytterligere uforutsette forhold.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400175"/>
                          <wp:effectExtent l="19050" t="0" r="0" b="0"/>
                          <wp:docPr id="4" name="Picture 2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acbdfb5233f54cfc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400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Kontrakt inngått under kalkulert kostnad, og prognosen er redusert tilsvarende.  </w:t>
                    </w:r>
                  </w:p>
                  <w:p>
                    <w:pPr>
                      <w:spacing w:after="160"/>
                    </w:pPr>
                    <w:r>
                      <w:t xml:space="preserve">Kulturdepartementet behandler søknad om tilskudd på 4 MNOK i form av tippemidler.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relevante forhold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b/>
                </w:rPr>
                <w:t xml:space="preserve"> </w:t>
              </w: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FRITIDSKLUBB HEISTAD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Etablere en erstatning for dagens ungdomstilbud i Lundedalen.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Utredning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54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10 MNOK (HP 2026 – 2029)</w:t>
                    </w:r>
                  </w:p>
                </w:tc>
                <w:tc>
                  <w:tcPr>
                    <w:tcW w:w="484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10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Arbeid med mulighetsstudie nærmer seg ferdig. Behovet til fritidsklubben vil kunne ivaretas innenfor arealene til den nedlagte svømmehallen på Heistad. Mulighetsstudien og en grovkalkyle forventes lagt fram politisk (B1) i mai.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419225"/>
                          <wp:effectExtent l="19050" t="0" r="0" b="0"/>
                          <wp:docPr id="5" name="Picture 3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3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da7d68aab3e54de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41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Prognosen reflekterer kun investeringsbeløpet som ligger i HP for 2026.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relevante forhold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</w:t>
                    </w:r>
                  </w:p>
                </w:tc>
              </w:tr>
            </w:tbl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image" Target="/media/image.jpg" Id="Racbdfb5233f54cfc" /><Relationship Type="http://schemas.openxmlformats.org/officeDocument/2006/relationships/image" Target="/media/image2.jpg" Id="Rda7d68aab3e54de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Rapportering investeringsprosjekter Barn, Unge og Kultur 03/26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