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26/3713</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Bente Østbakken Aasoldsen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26.03.2026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Årsrapport 2025 for tjeneste hverdagsrehabilitering (HVR)</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07/26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09.04.2026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08/26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09.04.2026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07/26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14.04.2026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05/26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Administrasjonsutvalg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16.04.2026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Årsrapport 2025 for tjeneste hverdagsrehabilitering tas til orientering. </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Hverdagsrehabilitering er et tilbud som er tidsavgrenset og gir tverrfaglig oppfølging i hjemmet (4 uker) med fokus på at pasienten skal bli selvhjulpen og mestre sin hverdag. Tilbud om hverdagsrehabilitering (HVR) ble etablert i Porsgrunn i 2017</w:t>
              </w:r>
            </w:p>
            <w:p>
              <w:pPr>
                <w:spacing w:after="160"/>
              </w:pPr>
              <w:r>
                <w:t xml:space="preserve"> </w:t>
              </w:r>
            </w:p>
            <w:p>
              <w:pPr>
                <w:spacing w:after="160"/>
              </w:pPr>
              <w:r>
                <w:t xml:space="preserve"> </w:t>
              </w:r>
            </w:p>
          </w:sdtContent>
        </w:sdt>
        <w:sdt>
          <w:sdtPr>
            <w:alias w:val="SaksTekst"/>
            <w:tag w:val="SaksTekst"/>
            <w:id w:val="-1309477531"/>
          </w:sdtPr>
          <w:sdtContent>
            <w:p>
              <w:pPr>
                <w:spacing w:after="160"/>
              </w:pPr>
              <w:r>
                <w:rPr>
                  <w:b/>
                </w:rPr>
                <w:t xml:space="preserve">Saksfremstilling</w:t>
              </w:r>
            </w:p>
            <w:p>
              <w:pPr>
                <w:spacing w:after="160"/>
              </w:pPr>
              <w:r>
                <w:t xml:space="preserve">Målet med hverdagsrehabilitering (HVR) er at personen skal mestre hverdagen bedre, bli mer selvstendig i daglige gjøremål og kunne være aktiv og delta sosialt. Målet er at personen skal kunne bo hjemme lengst mulig. Målene for treningsperioden fastsettes i samarbeid mellom den enkelte og HVR‑teamet.</w:t>
              </w:r>
            </w:p>
            <w:p>
              <w:pPr>
                <w:spacing w:after="160"/>
              </w:pPr>
              <w:r>
                <w:t xml:space="preserve">Erfaringer viser at hverdagsrehabilitering gir gode resultater. Eldre og personer med funksjonsfall opplever økt mestring, bedre fysisk funksjon og høyere livskvalitet. Tjenesten er kostnadseffektiv og kan redusere behovet for langvarige hjemmetjenester. Den er personsentrert, tverrfaglig og tidsavgrenset, med særlig vekt på ergo‑ og fysioterapi.</w:t>
              </w:r>
            </w:p>
            <w:p>
              <w:pPr>
                <w:spacing w:after="160"/>
              </w:pPr>
              <w:r>
                <w:t xml:space="preserve">Hverdagsrehabiliteringsteamet i Porsgrunn utarbeider årsrapport hvert år, og viser hvilke gode resultat tilbudet kan vise til. Rapporten legges frem til orientering.  </w:t>
              </w:r>
            </w:p>
            <w:p>
              <w:pPr>
                <w:spacing w:after="160"/>
              </w:pPr>
              <w:r>
                <w:rPr>
                  <w:b/>
                </w:rPr>
                <w:t xml:space="preserve">Effekten av saken </w:t>
              </w:r>
              <w:r>
                <w:br/>
              </w:r>
              <w:r>
                <w:t xml:space="preserve">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jc w:val="center"/>
                      <w:spacing w:after="160"/>
                    </w:pPr>
                    <w:r>
                      <w:t xml:space="preserve"> </w:t>
                    </w:r>
                  </w:p>
                </w:tc>
                <w:tc>
                  <w:tcPr>
                    <w:vAlign w:val="center"/>
                  </w:tcPr>
                  <w:p>
                    <w:pPr>
                      <w:jc w:val="center"/>
                      <w:spacing w:after="160"/>
                    </w:pPr>
                    <w:r>
                      <w:t xml:space="preserve"> </w:t>
                    </w:r>
                  </w:p>
                </w:tc>
                <w:tc>
                  <w:tcPr>
                    <w:vAlign w:val="center"/>
                  </w:tcPr>
                  <w:p>
                    <w:pPr>
                      <w:jc w:val="center"/>
                      <w:spacing w:after="160"/>
                    </w:pPr>
                    <w:r>
                      <w:t xml:space="preserve">x</w:t>
                    </w:r>
                  </w:p>
                </w:tc>
                <w:tc>
                  <w:tcPr>
                    <w:vAlign w:val="center"/>
                  </w:tcPr>
                  <w:p>
                    <w:pPr>
                      <w:jc w:val="cente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jc w:val="center"/>
                      <w:spacing w:after="160"/>
                    </w:pPr>
                    <w:r>
                      <w:t xml:space="preserve"> </w:t>
                    </w:r>
                  </w:p>
                </w:tc>
                <w:tc>
                  <w:tcPr>
                    <w:vAlign w:val="center"/>
                  </w:tcPr>
                  <w:p>
                    <w:pPr>
                      <w:jc w:val="center"/>
                      <w:spacing w:after="160"/>
                    </w:pPr>
                    <w:r>
                      <w:t xml:space="preserve">x</w:t>
                    </w:r>
                  </w:p>
                </w:tc>
                <w:tc>
                  <w:tcPr>
                    <w:vAlign w:val="center"/>
                  </w:tcPr>
                  <w:p>
                    <w:pPr>
                      <w:jc w:val="center"/>
                      <w:spacing w:after="160"/>
                    </w:pPr>
                    <w:r>
                      <w:t xml:space="preserve"> </w:t>
                    </w:r>
                  </w:p>
                </w:tc>
                <w:tc>
                  <w:tcPr>
                    <w:vAlign w:val="center"/>
                  </w:tcPr>
                  <w:p>
                    <w:pPr>
                      <w:jc w:val="cente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jc w:val="center"/>
                      <w:spacing w:after="160"/>
                    </w:pPr>
                    <w:r>
                      <w:t xml:space="preserve"> </w:t>
                    </w:r>
                  </w:p>
                </w:tc>
                <w:tc>
                  <w:tcPr>
                    <w:vAlign w:val="center"/>
                  </w:tcPr>
                  <w:p>
                    <w:pPr>
                      <w:jc w:val="center"/>
                      <w:spacing w:after="160"/>
                    </w:pPr>
                    <w:r>
                      <w:t xml:space="preserve"> </w:t>
                    </w:r>
                  </w:p>
                </w:tc>
                <w:tc>
                  <w:tcPr>
                    <w:vAlign w:val="center"/>
                  </w:tcPr>
                  <w:p>
                    <w:pPr>
                      <w:jc w:val="center"/>
                      <w:spacing w:after="160"/>
                    </w:pPr>
                    <w:r>
                      <w:t xml:space="preserve">x</w:t>
                    </w:r>
                  </w:p>
                </w:tc>
                <w:tc>
                  <w:tcPr>
                    <w:vAlign w:val="center"/>
                  </w:tcPr>
                  <w:p>
                    <w:pPr>
                      <w:jc w:val="center"/>
                      <w:spacing w:after="160"/>
                    </w:pPr>
                    <w:r>
                      <w:t xml:space="preserve"> </w:t>
                    </w:r>
                  </w:p>
                </w:tc>
              </w:tr>
              <w:tr>
                <w:trPr>
                  <w:tblCellSpacing w:w="0" w:type="dxa"/>
                </w:trPr>
                <w:tc>
                  <w:tcPr>
                    <w:vAlign w:val="center"/>
                  </w:tcPr>
                  <w:p>
                    <w:pPr>
                      <w:spacing w:after="160"/>
                    </w:pPr>
                    <w:r>
                      <w:t xml:space="preserve">Konsekvens for folkehelsen, herunder vurdering av tilpasning til aldersvennlig samfunn</w:t>
                    </w:r>
                  </w:p>
                </w:tc>
                <w:tc>
                  <w:tcPr>
                    <w:vAlign w:val="center"/>
                  </w:tcPr>
                  <w:p>
                    <w:pPr>
                      <w:jc w:val="center"/>
                      <w:spacing w:after="160"/>
                    </w:pPr>
                    <w:r>
                      <w:t xml:space="preserve"> </w:t>
                    </w:r>
                  </w:p>
                </w:tc>
                <w:tc>
                  <w:tcPr>
                    <w:vAlign w:val="center"/>
                  </w:tcPr>
                  <w:p>
                    <w:pPr>
                      <w:jc w:val="center"/>
                      <w:spacing w:after="160"/>
                    </w:pPr>
                    <w:r>
                      <w:t xml:space="preserve"> </w:t>
                    </w:r>
                  </w:p>
                </w:tc>
                <w:tc>
                  <w:tcPr>
                    <w:vAlign w:val="center"/>
                  </w:tcPr>
                  <w:p>
                    <w:pPr>
                      <w:jc w:val="center"/>
                      <w:spacing w:after="160"/>
                    </w:pPr>
                    <w:r>
                      <w:t xml:space="preserve">x</w:t>
                    </w:r>
                  </w:p>
                </w:tc>
                <w:tc>
                  <w:tcPr>
                    <w:vAlign w:val="center"/>
                  </w:tcPr>
                  <w:p>
                    <w:pPr>
                      <w:jc w:val="cente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ÅRSRAPPORT HVR 2025</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Årsrapport 2025 for tjeneste hverdagsrehabilitering (HVR)</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