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26/3907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Alexander Mokkelbost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31.03.2026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Månedsrapport Mars 2026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Administrasjonsutvalg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Saken 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Ihht rutine for økonomirapportering gis det en muntlig orientering om driftsområdenes økonomistatus for perioden så langt i år, samt en åpent tilgjengelig rapport på Porsgrunn kommune sine hjemmesider.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Månedsrapportene blir lagt ut fortløpende på nett senest den 20. i påfølgende måned. Rapporten i sin helhet vil ligge her: </w:t>
              </w:r>
              <w:hyperlink w:history="true" r:id="R30b62c7b727c4069">
                <w:r>
                  <w:rPr>
                    <w:rStyle w:val="Hyperlink"/>
                  </w:rPr>
                  <w:t xml:space="preserve">https://www.porsgrunn.kommune.no/organisasjon/oekonomi-og-planer/oekonomirapporter-og-sykefravaer/</w:t>
                </w:r>
              </w:hyperlink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hyperlink" Target="https://www.porsgrunn.kommune.no/organisasjon/oekonomi-og-planer/oekonomirapporter-og-sykefravaer/" TargetMode="External" Id="R30b62c7b727c406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Månedsrapport Mars 2026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