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25/853</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6</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Terje Madsen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17.02.2026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GREP Grenland AS - Eierstrategi</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19.03.2026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47/26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23.04.2026</w:t>
                        </w:r>
                      </w:sdtContent>
                    </w:sdt>
                  </w:p>
                </w:tc>
              </w:tr>
            </w:tbl>
            <w:p w:rsidRPr="00853B6B" w:rsidR="002E12DF" w:rsidP="003E7097" w:rsidRDefault="00000000" w14:paraId="15136346" w14:textId="77777777"/>
          </w:sdtContent>
        </w:sdt>
        <w:sdt>
          <w:sdtPr>
            <w:alias w:val="VedtakSomInnstillinger"/>
            <w:tag w:val="VedtakSomInnstillinger"/>
            <w:id w:val="-1781246761"/>
          </w:sdtPr>
          <w:sdtContent>
            <w:p w:rsidR="00983B8F" w:rsidP="003E7097" w:rsidRDefault="00983B8F" w14:paraId="31C021FF" w14:textId="77777777"/>
            <w:p w:rsidRPr="00853B6B" w:rsidR="00973558" w:rsidP="003E7097" w:rsidRDefault="00000000" w14:paraId="2EFE0DFE" w14:textId="1D76BAEA">
              <w:sdt>
                <w:sdtPr>
                  <w:rPr>
                    <w:b/>
                    <w:bCs/>
                  </w:rPr>
                  <w:alias w:val="VedtaksMøte.GruppeTittel"/>
                  <w:tag w:val="VedtaksMøte.GruppeTittel"/>
                  <w:id w:val="1687861511"/>
                </w:sdtPr>
                <w:sdtContent>
                  <w:r w:rsidR="00FE765E">
                    <w:rPr>
                      <w:b/>
                      <w:bCs/>
                    </w:rPr>
                    <w:t xml:space="preserve">Formannskapet</w:t>
                  </w:r>
                </w:sdtContent>
              </w:sdt>
              <w:r w:rsidR="00526E7D">
                <w:rPr>
                  <w:b/>
                  <w:bCs/>
                </w:rPr>
                <w:t xml:space="preserve"> </w:t>
              </w:r>
              <w:r w:rsidR="007053D6">
                <w:rPr>
                  <w:b/>
                  <w:bCs/>
                </w:rPr>
                <w:t>sin i</w:t>
              </w:r>
              <w:r w:rsidRPr="00853B6B" w:rsidR="007053D6">
                <w:rPr>
                  <w:b/>
                  <w:bCs/>
                </w:rPr>
                <w:t xml:space="preserve">nnstilling </w:t>
              </w:r>
              <w:r w:rsidR="007053D6">
                <w:rPr>
                  <w:b/>
                  <w:bCs/>
                </w:rPr>
                <w:t>i saken</w:t>
              </w:r>
              <w:r w:rsidRPr="00853B6B" w:rsidR="008D2DF4">
                <w:rPr>
                  <w:b/>
                  <w:bCs/>
                </w:rPr>
                <w:t>,</w:t>
              </w:r>
              <w:r w:rsidRPr="00853B6B" w:rsidR="006E6A9D">
                <w:rPr>
                  <w:b/>
                  <w:bCs/>
                </w:rPr>
                <w:t xml:space="preserve"> </w:t>
              </w:r>
              <w:sdt>
                <w:sdtPr>
                  <w:rPr>
                    <w:b/>
                    <w:bCs/>
                  </w:rPr>
                  <w:alias w:val="VedtaksMøte.Start.KortDato"/>
                  <w:tag w:val="VedtaksMøte.Start.KortDato"/>
                  <w:id w:val="-1067267828"/>
                </w:sdtPr>
                <w:sdtContent>
                  <w:r w:rsidRPr="00853B6B" w:rsidR="00B92A0B">
                    <w:rPr>
                      <w:b/>
                      <w:bCs/>
                    </w:rPr>
                    <w:t xml:space="preserve">19.03.2026</w:t>
                  </w:r>
                </w:sdtContent>
              </w:sdt>
              <w:r w:rsidRPr="00853B6B" w:rsidR="006E6A9D">
                <w:rPr>
                  <w:b/>
                  <w:bCs/>
                </w:rPr>
                <w:t xml:space="preserve"> - </w:t>
              </w:r>
              <w:sdt>
                <w:sdtPr>
                  <w:rPr>
                    <w:b/>
                    <w:bCs/>
                  </w:rPr>
                  <w:alias w:val="Vedtak.OpprettetIGjennomføring.Nummer"/>
                  <w:tag w:val="Vedtak.OpprettetIGjennomføring.Nummer"/>
                  <w:id w:val="2090502998"/>
                </w:sdtPr>
                <w:sdtContent>
                  <w:r w:rsidRPr="00853B6B" w:rsidR="00B92A0B">
                    <w:rPr>
                      <w:b/>
                      <w:bCs/>
                    </w:rPr>
                    <w:t xml:space="preserve">22/26</w:t>
                  </w:r>
                </w:sdtContent>
              </w:sdt>
            </w:p>
            <w:sdt>
              <w:sdtPr>
                <w:alias w:val="Vedtak.Tekst"/>
                <w:tag w:val="Vedtak.Tekst"/>
                <w:id w:val="678242292"/>
              </w:sdtPr>
              <w:sdtContent>
                <w:p>
                  <w:pPr>
                    <w:pStyle w:val="ListParagraph"/>
                    <w:numPr>
                      <w:ilvl w:val="0"/>
                      <w:numId w:val="1"/>
                    </w:numPr>
                  </w:pPr>
                  <w:r>
                    <w:t xml:space="preserve">Vedlagte eierstrategi for GREP Grenland AS vedtas, under forutsetning av likelydende vedtak i Skien, Bamble og Siljan kommuner.</w:t>
                  </w:r>
                </w:p>
              </w:sdtContent>
            </w:sdt>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2"/>
                </w:numPr>
                <w:spacing w:after="160"/>
              </w:pPr>
              <w:r>
                <w:t xml:space="preserve">Vedlagte eierstrategi for GREP Grenland AS vedtas, under forutsetning av likelydende vedtak i Skien, Bamble og Siljan kommuner.</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Bystyret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26.03.2026</w:t>
                  </w:r>
                </w:sdtContent>
              </w:sdt>
            </w:p>
            <w:p w:rsidRPr="00853B6B" w:rsidR="00D635FE" w:rsidP="00D635FE" w:rsidRDefault="00D635FE" w14:paraId="41B83B53" w14:textId="77777777"/>
            <w:sdt>
              <w:sdtPr>
                <w:alias w:val="BehandlingsTekst"/>
                <w:tag w:val="BehandlingsTekst"/>
                <w:id w:val="463629446"/>
              </w:sdtPr>
              <w:sdtContent>
                <w:p>
                  <w:r>
                    <w:t xml:space="preserve">Saken utsettes til neste møte i bystyret, da det ikke er tilstrekkelig tid til behandling innenfor bystyrets vedtatte møteslutt kl. 22.</w:t>
                  </w:r>
                </w:p>
                <w:p>
                  <w:r>
                    <w:t xml:space="preserve"> </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Bystyret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33/26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Formannskapet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19.03.2026</w:t>
                  </w:r>
                </w:sdtContent>
              </w:sdt>
            </w:p>
            <w:p w:rsidRPr="00853B6B" w:rsidR="00D635FE" w:rsidP="00D635FE" w:rsidRDefault="00D635FE" w14:paraId="41B83B53" w14:textId="77777777"/>
            <w:sdt>
              <w:sdtPr>
                <w:alias w:val="BehandlingsTekst"/>
                <w:tag w:val="BehandlingsTekst"/>
                <w:id w:val="463629446"/>
              </w:sdtPr>
              <w:sdtContent>
                <w:p>
                  <w:r>
                    <w:t xml:space="preserve">Ingen merknad til kommunedirektørens innstilling.</w:t>
                  </w:r>
                </w:p>
                <w:p>
                  <w:r>
                    <w:rPr>
                      <w:b/>
                    </w:rPr>
                    <w:t xml:space="preserve">Votering</w:t>
                  </w:r>
                </w:p>
                <w:p>
                  <w:r>
                    <w:t xml:space="preserve">Kommunedirektørens innstilling enstemmig vedtatt.</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Formannskapet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22/26</w:t>
                  </w:r>
                </w:sdtContent>
              </w:sdt>
              <w:r w:rsidRPr="00853B6B" w:rsidR="00F53DD3">
                <w:rPr>
                  <w:b/>
                  <w:bCs/>
                </w:rPr>
                <w:t xml:space="preserve"> vedtak</w:t>
              </w:r>
              <w:r w:rsidRPr="00F53DD3" w:rsidR="00F53DD3">
                <w:t xml:space="preserve"> </w:t>
              </w:r>
            </w:p>
            <w:sdt>
              <w:sdtPr>
                <w:alias w:val="VedtaksTekst"/>
                <w:tag w:val="VedtaksTekst"/>
                <w:id w:val="1440566899"/>
              </w:sdtPr>
              <w:sdtContent>
                <w:p>
                  <w:pPr>
                    <w:pStyle w:val="ListParagraph"/>
                    <w:numPr>
                      <w:ilvl w:val="0"/>
                      <w:numId w:val="3"/>
                    </w:numPr>
                  </w:pPr>
                  <w:r>
                    <w:t xml:space="preserve">Vedlagte eierstrategi for GREP Grenland AS vedtas, under forutsetning av likelydende vedtak i Skien, Bamble og Siljan kommuner.</w:t>
                  </w:r>
                </w:p>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Porsgrunn kommunes eierskapsmelding legger opp til at det skal lages eierstrategier med utvalgte selskap. Bystyret behandlet forslag til eierstrategi for GREP Grenland AS i sak 67/25.  Bystyret fattet følgende vedtak:"</w:t>
              </w:r>
            </w:p>
            <w:p>
              <w:pPr>
                <w:pStyle w:val="ListParagraph"/>
                <w:numPr>
                  <w:ilvl w:val="0"/>
                  <w:numId w:val="4"/>
                </w:numPr>
                <w:spacing w:after="160"/>
              </w:pPr>
              <w:r>
                <w:rPr>
                  <w:i/>
                </w:rPr>
                <w:t xml:space="preserve">Vedlagte eierstrategi for GREP Grenland AS vedtas, under forutsetning av likelydende vedtak i Skien, Bamble og Siljan kommuner.»</w:t>
              </w:r>
              <w:r>
                <w:t xml:space="preserve"> </w:t>
              </w:r>
            </w:p>
            <w:p>
              <w:pPr>
                <w:spacing w:after="160"/>
              </w:pPr>
              <w:r>
                <w:t xml:space="preserve">Skien og Bamble kommuner fattet følgende vedtak i hhv. bystyresak 49/25 og kommunestyresak 49/25:" </w:t>
              </w:r>
            </w:p>
            <w:p>
              <w:pPr>
                <w:pStyle w:val="ListParagraph"/>
                <w:numPr>
                  <w:ilvl w:val="0"/>
                  <w:numId w:val="5"/>
                </w:numPr>
                <w:spacing w:after="160"/>
              </w:pPr>
              <w:r>
                <w:rPr>
                  <w:i/>
                </w:rPr>
                <w:t xml:space="preserve">Saken sendes tilbake.</w:t>
              </w:r>
            </w:p>
            <w:p>
              <w:pPr>
                <w:pStyle w:val="ListParagraph"/>
                <w:numPr>
                  <w:ilvl w:val="0"/>
                  <w:numId w:val="5"/>
                </w:numPr>
                <w:spacing w:after="160"/>
              </w:pPr>
              <w:r>
                <w:rPr>
                  <w:i/>
                </w:rPr>
                <w:t xml:space="preserve">Administrasjonen bes ta opp igjen prosessen for å få den enda bedre forankret i selskapene, herunder deres administrasjon, styre og representantskap.</w:t>
              </w:r>
            </w:p>
            <w:p>
              <w:pPr>
                <w:pStyle w:val="ListParagraph"/>
                <w:numPr>
                  <w:ilvl w:val="0"/>
                  <w:numId w:val="5"/>
                </w:numPr>
                <w:spacing w:after="160"/>
              </w:pPr>
              <w:r>
                <w:rPr>
                  <w:i/>
                </w:rPr>
                <w:t xml:space="preserve">Når nytt saksfremlegg og revidert strategi fremlegges må det sikres at blant annet skattemessige forhold og andre per i dag ikke belyste tema tas med.»</w:t>
              </w:r>
            </w:p>
            <w:p>
              <w:pPr>
                <w:spacing w:after="160"/>
              </w:pPr>
              <w:r>
                <w:t xml:space="preserve">For ordens skyld bemerkes at det ikke eksisterer representantskap i et aksjeselskap, men bedriftsforsamlingen kan anses å ha tilsvarende funksjon som høringsorgan i denne sammenheng. </w:t>
              </w:r>
            </w:p>
            <w:p>
              <w:pPr>
                <w:spacing w:after="160"/>
              </w:pPr>
              <w:r>
                <w:t xml:space="preserve">Siljan kommune fattet følgende vedtak i kommunestyresak 19/25:</w:t>
              </w:r>
              <w:r>
                <w:br/>
              </w:r>
              <w:r>
                <w:rPr>
                  <w:i/>
                </w:rPr>
                <w:t xml:space="preserve">«Vedlagte eierstrategi for GREP Grenland AS vedtas, under forutsetning av likelydende vedtak i Skien, Bamble og Porsgrunn kommuner.»</w:t>
              </w:r>
            </w:p>
            <w:p>
              <w:pPr>
                <w:spacing w:after="160"/>
              </w:pPr>
              <w:r>
                <w:t xml:space="preserve">Med bakgrunn i at det ikke ble fattet likelydende vedtak i Skien, Bamble og Siljan kommuner, legges saken fram til ny behandling etter at bedriftsforsamlingen har fått uttale seg om forslag til eierstrategi.   Bedriftsforsamlingens høringsuttalelse er ikke endret i forhold til selskapets tidligere høringsuttalelse som lå til grunn for bystyresak 67/25.  Derfor vil store deler av saksframstillingen være lik som sak 67/25.</w:t>
              </w:r>
            </w:p>
            <w:p>
              <w:pPr>
                <w:spacing w:after="160"/>
              </w:pPr>
              <w:r>
                <w:t xml:space="preserve">Utkastet til eierstrategi er basert på mal for eierstrategi som er vedtatt i bystyresak 64/25.</w:t>
              </w:r>
            </w:p>
            <w:p>
              <w:pPr>
                <w:spacing w:after="160"/>
              </w:pPr>
              <w:r>
                <w:t xml:space="preserve">Det er bystyret, som Porsgrunn kommunes formelle eierorgan, som skal ta stilling til om eierstrategien skal vedtas som styrende overfor selskapet.  Dersom bystyret vedtar eierstrategien, må eierorganet i selskapet, generalforsamlingen, også vedta eierstrategien for at den skal bli gjeldende for selskapet.</w:t>
              </w:r>
              <w:r>
                <w:br/>
              </w:r>
              <w:r>
                <w:t xml:space="preserve"> </w:t>
              </w:r>
            </w:p>
          </w:sdtContent>
        </w:sdt>
        <w:sdt>
          <w:sdtPr>
            <w:alias w:val="SaksTekst"/>
            <w:tag w:val="SaksTekst"/>
            <w:id w:val="-1309477531"/>
          </w:sdtPr>
          <w:sdtContent>
            <w:p>
              <w:pPr>
                <w:spacing w:after="160"/>
              </w:pPr>
              <w:r>
                <w:rPr>
                  <w:b/>
                </w:rPr>
                <w:t xml:space="preserve">Saksfremstilling</w:t>
              </w:r>
            </w:p>
            <w:p>
              <w:pPr>
                <w:spacing w:after="160"/>
              </w:pPr>
              <w:r>
                <w:rPr>
                  <w:b/>
                </w:rPr>
                <w:t xml:space="preserve">Skattemessige forhold og andre ikke belyste tema</w:t>
              </w:r>
              <w:r>
                <w:br/>
              </w:r>
              <w:r>
                <w:t xml:space="preserve">Selskapet er etablert for å utføre et samfunnsoppdrag og det skal ikke utdeles utbytte til aksjonærene, jfr. selskapets vedtekter § 8.  Eierstrategien inviterer ikke til at det skal utdeles utbytte. Skatt på utbytte er således ikke relevant.  For øvrig endrer ikke forslag til eierstrategi selskapets forhold til selskapsskatten.  Forslaget til eierstrategi endrer derfor ikke selskapets skatteposisjon. </w:t>
              </w:r>
              <w:r>
                <w:br/>
              </w:r>
              <w:r>
                <w:t xml:space="preserve">Ved nærmere vurdering er det ikke identifisert andre relevante tema som ikke er belyst.</w:t>
              </w:r>
            </w:p>
            <w:p>
              <w:pPr>
                <w:spacing w:after="160"/>
              </w:pPr>
              <w:r>
                <w:rPr>
                  <w:b/>
                </w:rPr>
                <w:t xml:space="preserve">Selskapets formål</w:t>
              </w:r>
              <w:r>
                <w:br/>
              </w:r>
              <w:r>
                <w:t xml:space="preserve">Fra vedtektene fremgår følgende formål med selskapet:</w:t>
              </w:r>
              <w:r>
                <w:br/>
              </w:r>
              <w:r>
                <w:rPr>
                  <w:i/>
                </w:rPr>
                <w:t xml:space="preserve">«Selskapets virksomhet er å være en bro til arbeidslivet og bidra til økt sysselsetting gjennom avklaring, arbeidstrening, kvalifisering, formidling eller andre tiltak/aktiviteter.  Produksjon, tjenesteleveranser, handel eller annen næringsvirksomhet er virkemidler i denne prosessen.</w:t>
              </w:r>
              <w:r>
                <w:br/>
              </w:r>
              <w:r>
                <w:rPr>
                  <w:i/>
                </w:rPr>
                <w:t xml:space="preserve">I sin virksomhet skal selskapet bevare sin identitet, lokale forankring og nærhet til brukerne.»</w:t>
              </w:r>
            </w:p>
            <w:p>
              <w:pPr>
                <w:spacing w:after="160"/>
              </w:pPr>
              <w:r>
                <w:rPr>
                  <w:b/>
                </w:rPr>
                <w:t xml:space="preserve">Selskapets organisasjonsform</w:t>
              </w:r>
              <w:r>
                <w:br/>
              </w:r>
              <w:r>
                <w:t xml:space="preserve">GREP er organisert som et aksjeselskap (AS).  Selskapsformen er regulert av aksjeselskapsloven. Hver eier har en stemmeandel tilsvarende den prosentvise andelen av aksjene ved avstemming over eierstrategien i eierorganet.  Eierorganet i et AS er generalforsamlingen, hvor ordfører i utgangspunktet representerer kommunen.  Ordfører kan delegere sin representasjon. </w:t>
              </w:r>
            </w:p>
            <w:p>
              <w:pPr>
                <w:spacing w:after="160"/>
              </w:pPr>
              <w:r>
                <w:rPr>
                  <w:b/>
                </w:rPr>
                <w:t xml:space="preserve">Selskapets eiere og fordeling av eierskap</w:t>
              </w:r>
              <w:r>
                <w:br/>
              </w:r>
              <w:r>
                <w:t xml:space="preserve">Aksjeandelen er fordelt slik mellom eierne:</w:t>
              </w:r>
            </w:p>
            <w:tbl>
              <w:tblPr>
                <w:tblStyle w:val="TableGrid"/>
                <w:tblW w:w="0" w:type="auto"/>
                <w:tblBorders>
                  <w:top w:val="single" w:color="000000" w:sz="4"/>
                  <w:left w:val="single" w:color="000000" w:sz="4"/>
                  <w:bottom w:val="single" w:color="000000" w:sz="4"/>
                  <w:right w:val="single" w:color="000000" w:sz="4"/>
                </w:tblBorders>
                <w:tblLook w:firstRow="false" w:lastRow="false" w:firstColumn="false" w:lastColumn="false"/>
              </w:tblPr>
              <w:tblGrid>
                <w:gridCol/>
                <w:gridCol/>
              </w:tblGrid>
              <w:tr>
                <w:trPr>
                  <w:tblCellSpacing w:w="0" w:type="dxa"/>
                </w:trPr>
                <w:tc>
                  <w:tcPr>
                    <w:tcMar>
                      <w:left w:w="108" w:type="dxa"/>
                      <w:right w:w="108" w:type="dxa"/>
                    </w:tcMar>
                    <w:vAlign w:val="center"/>
                  </w:tcPr>
                  <w:p>
                    <w:pPr>
                      <w:spacing w:after="160"/>
                    </w:pPr>
                    <w:r>
                      <w:t xml:space="preserve">Skien kommune</w:t>
                    </w:r>
                  </w:p>
                </w:tc>
                <w:tc>
                  <w:tcPr>
                    <w:tcMar>
                      <w:left w:w="108" w:type="dxa"/>
                      <w:right w:w="108" w:type="dxa"/>
                    </w:tcMar>
                    <w:vAlign w:val="center"/>
                  </w:tcPr>
                  <w:p>
                    <w:pPr>
                      <w:jc w:val="right"/>
                      <w:spacing w:after="160"/>
                    </w:pPr>
                    <w:r>
                      <w:t xml:space="preserve">49 %</w:t>
                    </w:r>
                  </w:p>
                </w:tc>
              </w:tr>
              <w:tr>
                <w:trPr>
                  <w:tblCellSpacing w:w="0" w:type="dxa"/>
                </w:trPr>
                <w:tc>
                  <w:tcPr>
                    <w:tcMar>
                      <w:left w:w="108" w:type="dxa"/>
                      <w:right w:w="108" w:type="dxa"/>
                    </w:tcMar>
                    <w:vAlign w:val="center"/>
                  </w:tcPr>
                  <w:p>
                    <w:pPr>
                      <w:spacing w:after="160"/>
                    </w:pPr>
                    <w:r>
                      <w:t xml:space="preserve">Porsgrunn kommune</w:t>
                    </w:r>
                  </w:p>
                </w:tc>
                <w:tc>
                  <w:tcPr>
                    <w:tcMar>
                      <w:left w:w="108" w:type="dxa"/>
                      <w:right w:w="108" w:type="dxa"/>
                    </w:tcMar>
                    <w:vAlign w:val="center"/>
                  </w:tcPr>
                  <w:p>
                    <w:pPr>
                      <w:jc w:val="right"/>
                      <w:spacing w:after="160"/>
                    </w:pPr>
                    <w:r>
                      <w:t xml:space="preserve">34 %</w:t>
                    </w:r>
                  </w:p>
                </w:tc>
              </w:tr>
              <w:tr>
                <w:trPr>
                  <w:tblCellSpacing w:w="0" w:type="dxa"/>
                </w:trPr>
                <w:tc>
                  <w:tcPr>
                    <w:tcMar>
                      <w:left w:w="108" w:type="dxa"/>
                      <w:right w:w="108" w:type="dxa"/>
                    </w:tcMar>
                    <w:vAlign w:val="center"/>
                  </w:tcPr>
                  <w:p>
                    <w:pPr>
                      <w:spacing w:after="160"/>
                    </w:pPr>
                    <w:r>
                      <w:t xml:space="preserve">Bamble kommune</w:t>
                    </w:r>
                  </w:p>
                </w:tc>
                <w:tc>
                  <w:tcPr>
                    <w:tcMar>
                      <w:left w:w="108" w:type="dxa"/>
                      <w:right w:w="108" w:type="dxa"/>
                    </w:tcMar>
                    <w:vAlign w:val="center"/>
                  </w:tcPr>
                  <w:p>
                    <w:pPr>
                      <w:jc w:val="right"/>
                      <w:spacing w:after="160"/>
                    </w:pPr>
                    <w:r>
                      <w:t xml:space="preserve">15 %</w:t>
                    </w:r>
                  </w:p>
                </w:tc>
              </w:tr>
              <w:tr>
                <w:trPr>
                  <w:tblCellSpacing w:w="0" w:type="dxa"/>
                </w:trPr>
                <w:tc>
                  <w:tcPr>
                    <w:tcMar>
                      <w:left w:w="108" w:type="dxa"/>
                      <w:right w:w="108" w:type="dxa"/>
                    </w:tcMar>
                    <w:vAlign w:val="center"/>
                  </w:tcPr>
                  <w:p>
                    <w:pPr>
                      <w:spacing w:after="160"/>
                    </w:pPr>
                    <w:r>
                      <w:t xml:space="preserve">Siljan kommune</w:t>
                    </w:r>
                  </w:p>
                </w:tc>
                <w:tc>
                  <w:tcPr>
                    <w:tcMar>
                      <w:left w:w="108" w:type="dxa"/>
                      <w:right w:w="108" w:type="dxa"/>
                    </w:tcMar>
                    <w:vAlign w:val="center"/>
                  </w:tcPr>
                  <w:p>
                    <w:pPr>
                      <w:jc w:val="right"/>
                      <w:spacing w:after="160"/>
                    </w:pPr>
                    <w:r>
                      <w:t xml:space="preserve">2 %</w:t>
                    </w:r>
                  </w:p>
                </w:tc>
              </w:tr>
            </w:tbl>
            <w:p>
              <w:pPr>
                <w:spacing w:after="160"/>
              </w:pPr>
              <w:r>
                <w:t xml:space="preserve">Siden hver eier svarer for sin andel, har kommunedirektørene i regi av Grenlandssamarbeidet KO satt ned en gruppe med en representant fra hver av kommuneadministrasjonene i et administrativt eierskapsforum.  Formålet er at kommuneadministrasjonene skal legge til rette for et mer samordnet og et helhetlig aktivt eierskap, ved å lage utkast til felles selskapsvise eierstrategier for hvert selskap kommunene eier sammen, herunder GREP.</w:t>
              </w:r>
            </w:p>
            <w:p>
              <w:pPr>
                <w:spacing w:after="160"/>
              </w:pPr>
              <w:r>
                <w:rPr>
                  <w:b/>
                </w:rPr>
                <w:t xml:space="preserve">Kommunens formål med eierskapet </w:t>
              </w:r>
              <w:r>
                <w:br/>
              </w:r>
              <w:r>
                <w:t xml:space="preserve">I eierskapsmeldingen har kommunen oppgitt følgende mål med eierskapet i GREP:</w:t>
              </w:r>
              <w:r>
                <w:br/>
              </w:r>
              <w:r>
                <w:rPr>
                  <w:i/>
                </w:rPr>
                <w:t xml:space="preserve">«Målet med kommunens eierskap er å bidra til økt sysselsetting og arbeidsinkludering for flest mulig.»</w:t>
              </w:r>
            </w:p>
            <w:p>
              <w:pPr>
                <w:spacing w:after="160"/>
              </w:pPr>
              <w:r>
                <w:rPr>
                  <w:b/>
                </w:rPr>
                <w:t xml:space="preserve">Overordnet om eierstrategien</w:t>
              </w:r>
              <w:r>
                <w:br/>
              </w:r>
              <w:r>
                <w:t xml:space="preserve">Utkastet til eierstrategi omhandler en del bakgrunnsinformasjon om selskapet knyttet til formål, selskapsform og eiere.  I tillegg fremgår eiers forventninger til samfunnsansvar, valg av styret, forventinger til styrets arbeid, dialog med eier og rapportering til eier.  I tillegg legges det opp til å måle selskapets prestasjoner.</w:t>
              </w:r>
            </w:p>
            <w:p>
              <w:pPr>
                <w:spacing w:after="160"/>
              </w:pPr>
              <w:r>
                <w:rPr>
                  <w:b/>
                </w:rPr>
                <w:t xml:space="preserve">Måling av selskapets prestasjoner</w:t>
              </w:r>
              <w:r>
                <w:br/>
              </w:r>
              <w:r>
                <w:t xml:space="preserve">En del av formålet med eierstrategiene er å måle selskapets prestasjoner.  Måling av selskapets prestasjoner bør etter administrasjonens syn knyttes mot formålet med eierskapet i selskapet.  Presterer selskapet i tråd med vårt formål med eierskapet?  Og hvordan måler vi at selskapet presterer i tråd med formålet med eierskapet?</w:t>
              </w:r>
              <w:r>
                <w:br/>
              </w:r>
              <w:r>
                <w:t xml:space="preserve">Å finne de riktige måleparameterne er ikke nødvendigvis enkelt.  Det er viktig å holde antall parametere på et lavt nivå.  En øvre grense på 5 parametere bør være håndterbart. For mange parametere vil ellers medføre at parameterne tar fokus fra hverandre.</w:t>
              </w:r>
            </w:p>
            <w:p>
              <w:pPr>
                <w:spacing w:after="160"/>
              </w:pPr>
              <w:r>
                <w:rPr>
                  <w:b/>
                </w:rPr>
                <w:t xml:space="preserve">Måleparametere</w:t>
              </w:r>
              <w:r>
                <w:br/>
              </w:r>
              <w:r>
                <w:t xml:space="preserve">Administrasjonen har ikke funnet noen gode KOSTRA-tall for GREP.</w:t>
              </w:r>
              <w:r>
                <w:br/>
              </w:r>
              <w:r>
                <w:t xml:space="preserve">I utgangspunktet har administrasjonen foreslått at GREP legger til rette for litt flere arbeidsplasser enn hva de hadde året før.  Imidlertid er antall tilrettelagte arbeidsplasser regulert av avtale med blant annet NAV.  Det ligger derfor ikke til selskapet selv å regulere antall arbeidsplasser. </w:t>
              </w:r>
              <w:r>
                <w:br/>
              </w:r>
              <w:r>
                <w:t xml:space="preserve">Siden GREP tidligere har hatt utfordringer med likviditeten, hvor eierne har måttet yte likviditetslån til selskapet, foreslås det å knytte en måleparameter mot likviditet. </w:t>
              </w:r>
            </w:p>
            <w:p>
              <w:pPr>
                <w:spacing w:after="160"/>
              </w:pPr>
              <w:r>
                <w:rPr>
                  <w:b/>
                </w:rPr>
                <w:t xml:space="preserve">Selskapets høringsuttalelse</w:t>
              </w:r>
              <w:r>
                <w:br/>
              </w:r>
              <w:r>
                <w:t xml:space="preserve">Selskapets høringsuttalelse fra bedriftsforsamlingen er vedlagt.</w:t>
              </w:r>
              <w:r>
                <w:br/>
              </w:r>
              <w:r>
                <w:t xml:space="preserve">Selskapet har foreslått noen mindre redaksjonelle endringer.  I tillegg har selskapet i høringsuttalelse foreslått å knytte resultatmålene opp mot et samarbeid mellom selskapet eierne og NAV.</w:t>
              </w:r>
              <w:r>
                <w:br/>
              </w:r>
              <w:r>
                <w:t xml:space="preserve">Selskapet har også foreslått å ta inn formuleringer som om handler inkluderende og reserverte kontrakter. Inkluderende og reserverte kontrakter omhandler eiernes innkjøp av tjenester etter anskaffelsesregelverket, og er omtalt i anskaffelsesforskriftens §8-8, hvor det gis anledning til å begrense en anskaffelseskonkurranse til virksomheter eller programmer hvor formålet er å integrere funksjonshemmede eller vanskeligstilte personer i arbeidslivet.</w:t>
              </w:r>
              <w:r>
                <w:br/>
              </w:r>
              <w:r>
                <w:t xml:space="preserve">For måleparametre knyttet til prestasjon foreslår selskapet følgende måleparametre:</w:t>
              </w:r>
            </w:p>
            <w:p>
              <w:pPr>
                <w:pStyle w:val="ListParagraph"/>
                <w:numPr>
                  <w:ilvl w:val="0"/>
                  <w:numId w:val="6"/>
                </w:numPr>
                <w:spacing w:after="160"/>
              </w:pPr>
              <w:r>
                <w:t xml:space="preserve">GREP Grenland AS skal, i samarbeid med eiere og NAV, øke tilrettelagte arbeidsplasser med 40 plasser innen strategiperiodens slutt.</w:t>
              </w:r>
            </w:p>
            <w:p>
              <w:pPr>
                <w:pStyle w:val="ListParagraph"/>
                <w:numPr>
                  <w:ilvl w:val="0"/>
                  <w:numId w:val="6"/>
                </w:numPr>
                <w:spacing w:after="160"/>
              </w:pPr>
              <w:r>
                <w:t xml:space="preserve">Formidling til arbeidslivet: Minst 50 % av deltakerne i arbeidsrettede tiltak skal gå videre til jobb eller utdanning.</w:t>
              </w:r>
            </w:p>
            <w:p>
              <w:pPr>
                <w:pStyle w:val="ListParagraph"/>
                <w:numPr>
                  <w:ilvl w:val="0"/>
                  <w:numId w:val="6"/>
                </w:numPr>
                <w:spacing w:after="160"/>
              </w:pPr>
              <w:r>
                <w:t xml:space="preserve">Driftsmargin: Selskapet skal oppnå en driftsmargin på minimum 2,5 % per år for å sikre en bærekraftig økonomisk drift. </w:t>
              </w:r>
            </w:p>
            <w:p>
              <w:pPr>
                <w:spacing w:after="160"/>
              </w:pPr>
              <w:r>
                <w:t xml:space="preserve">Selskapet har foreslått å fjerne måleparameter knyttet til likviditet, samt mål om antall tilrettelagte arbeidsplasser.</w:t>
              </w:r>
              <w:r>
                <w:br/>
              </w:r>
              <w:r>
                <w:t xml:space="preserve">For øvrig har selskapet enkelte merknader til punkt om samfunnsansvar, forventninger til styrets arbeid m.m.</w:t>
              </w:r>
            </w:p>
            <w:p>
              <w:pPr>
                <w:spacing w:after="160"/>
              </w:pPr>
              <w:r>
                <w:rPr>
                  <w:b/>
                </w:rPr>
                <w:t xml:space="preserve">Administrasjonens vurdering av høringsuttalelsen:</w:t>
              </w:r>
              <w:r>
                <w:br/>
              </w:r>
              <w:r>
                <w:t xml:space="preserve">Hovedintensjonen med en eierstrategi er eiers forventninger overfor selskapet.  Det er ikke en avtale mellom selskap og eier, hvor eier og selskap blir enige om hvordan eier skal anskaffe sine tjenester. </w:t>
              </w:r>
              <w:r>
                <w:br/>
              </w:r>
              <w:r>
                <w:t xml:space="preserve">Innspillet knyttet til inkluderende og reserverte kontrakter er samfunnsmessig relevant, men det ikke riktig å sette dette inn i en eierstrategi overfor GREP, slik vi legger opp til å bruke eierstrategiene.  Dersom det skal stilles slikt krav overfor et selskap/samarbeid i Grenland, ville det vært overfor Grenlandskommunenes innkjøpsenhet (GKI), som anskaffer tjenester til kommunene i Grenland.</w:t>
              </w:r>
              <w:r>
                <w:br/>
              </w:r>
              <w:r>
                <w:t xml:space="preserve">For øvrig har selskapet kommet med gode innspill til måleparametere som administrasjonen anbefaler å ta inn i forslag til eierstrategi i sin helhet.</w:t>
              </w:r>
              <w:r>
                <w:br/>
              </w:r>
              <w:r>
                <w:t xml:space="preserve">Vi foreslår imidlertid å opprettholde måleparameter knyttet til likviditet.  Det er viktig at selskapet har fokus på likviditet, slik at det ikke blir behov for ytterligere likviditetslån.  Da ønsker eierne å sikre at det er slik fokus ved at selskapet blir utfordret på å rapportere på likviditeten.</w:t>
              </w:r>
            </w:p>
            <w:p>
              <w:pPr>
                <w:spacing w:after="160"/>
              </w:pPr>
              <w:r>
                <w:rPr>
                  <w:b/>
                </w:rPr>
                <w:t xml:space="preserve">Kommunedirektørens vurdering</w:t>
              </w:r>
              <w:r>
                <w:br/>
              </w:r>
              <w:r>
                <w:t xml:space="preserve">Oppgaven til selskapets styre og administrasjon er å planlegge, forvalte og drive virksomheten innenfor en ytre ramme som er trukket opp av eierne. Den ytre rammen består av selskapsavtalen for selskapet og innhold i eierskapsmeldingen, som inntas i eierstrategien.</w:t>
              </w:r>
              <w:r>
                <w:br/>
              </w:r>
              <w:r>
                <w:t xml:space="preserve">Selskapet er i det vesentlige enig i utkastet til eierstrategi.  Det er enkelte momenter selskapet kunne tenke seg å endre.  Noe av det er tatt inn i utkastet til eierstrategi som bystyret inviteres til å ta stilling til.</w:t>
              </w:r>
              <w:r>
                <w:br/>
              </w:r>
              <w:r>
                <w:t xml:space="preserve">Kommunedirektøren mener at foreliggende utkast til eierstrategi for GREP vil være et rimelig godt grunnlag for en operasjonalisering av eierskapsmeldingen overfor selskapet.</w:t>
              </w:r>
              <w:r>
                <w:br/>
              </w:r>
              <w:r>
                <w:t xml:space="preserve">Etter at eierstrategien har fått virke noen år, vil det være naturlig å evaluere hele eierstrategien, og også effekten av måleparameterne. Vi foreslår at det skjer i neste kommunevalgperiode.</w:t>
              </w:r>
              <w:r>
                <w:br/>
              </w:r>
              <w:r>
                <w:t xml:space="preserve">Avslutningsvis nevnes det at alle eierkommuner må vedta den samme eierstrategien for at eierne skal ha en felles eierstrategi overfor selskapet.</w:t>
              </w:r>
            </w:p>
            <w:p>
              <w:pPr>
                <w:spacing w:after="160"/>
              </w:pPr>
              <w:r>
                <w:rPr>
                  <w:b/>
                </w:rPr>
                <w:t xml:space="preserve">Konklusjon</w:t>
              </w:r>
              <w:r>
                <w:br/>
              </w:r>
              <w:r>
                <w:t xml:space="preserve">Administrasjonens konklusjon fremgår av forslag til vedtak.</w:t>
              </w:r>
              <w:r>
                <w:br/>
              </w:r>
              <w:r>
                <w:t xml:space="preserve"> </w:t>
              </w:r>
            </w:p>
            <w:p>
              <w:pPr>
                <w:spacing w:after="160"/>
              </w:pPr>
              <w:r>
                <w:rPr>
                  <w:b/>
                </w:rPr>
                <w:t xml:space="preserve">Effekten av saken </w:t>
              </w:r>
              <w:r>
                <w:br/>
              </w: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V1_Høring - eierstrategi - GREP Grenland - Grenlandssamarbeidet</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V1.1_Utkast eierstrategi GREP Grenland AS (1)</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V2_Svar utkast eierstrategi fra bedriftsforsamlingen</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V2.1_Svar eierstrategi fra  GREP Grenland AS 22.09 til info</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V3_Forslag til eierstrategi for GREP Grenland AS</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V4_Grep-grenland-as-vedtekter</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2">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3">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4">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5">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1"/>
    </w:lvlOverride>
  </w:num>
  <w:num w:numId="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cb589522932c4f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GREP Grenland AS - Eierstrategi</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