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25/1078</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2</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Terje Madsen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26.02.2026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Grenland Havn IKS - Revisjon av selskapsavtale, eieravtale og retningslinjer for valgkomiteen</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19.03.2026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26.03.2026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49/26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23.04.2026</w:t>
                        </w:r>
                      </w:sdtContent>
                    </w:sdt>
                  </w:p>
                </w:tc>
              </w:tr>
            </w:tbl>
            <w:p w:rsidRPr="00853B6B" w:rsidR="002E12DF" w:rsidP="003E7097" w:rsidRDefault="00000000" w14:paraId="15136346" w14:textId="77777777"/>
          </w:sdtContent>
        </w:sdt>
        <w:sdt>
          <w:sdtPr>
            <w:alias w:val="VedtakSomInnstillinger"/>
            <w:tag w:val="VedtakSomInnstillinger"/>
            <w:id w:val="-1781246761"/>
          </w:sdtPr>
          <w:sdtContent>
            <w:p w:rsidR="00983B8F" w:rsidP="003E7097" w:rsidRDefault="00983B8F" w14:paraId="31C021FF" w14:textId="77777777"/>
            <w:p w:rsidRPr="00853B6B" w:rsidR="00973558" w:rsidP="003E7097" w:rsidRDefault="00000000" w14:paraId="2EFE0DFE" w14:textId="1D76BAEA">
              <w:sdt>
                <w:sdtPr>
                  <w:rPr>
                    <w:b/>
                    <w:bCs/>
                  </w:rPr>
                  <w:alias w:val="VedtaksMøte.GruppeTittel"/>
                  <w:tag w:val="VedtaksMøte.GruppeTittel"/>
                  <w:id w:val="1687861511"/>
                </w:sdtPr>
                <w:sdtContent>
                  <w:r w:rsidR="00FE765E">
                    <w:rPr>
                      <w:b/>
                      <w:bCs/>
                    </w:rPr>
                    <w:t xml:space="preserve">Formannskapet</w:t>
                  </w:r>
                </w:sdtContent>
              </w:sdt>
              <w:r w:rsidR="00526E7D">
                <w:rPr>
                  <w:b/>
                  <w:bCs/>
                </w:rPr>
                <w:t xml:space="preserve"> </w:t>
              </w:r>
              <w:r w:rsidR="007053D6">
                <w:rPr>
                  <w:b/>
                  <w:bCs/>
                </w:rPr>
                <w:t>sin i</w:t>
              </w:r>
              <w:r w:rsidRPr="00853B6B" w:rsidR="007053D6">
                <w:rPr>
                  <w:b/>
                  <w:bCs/>
                </w:rPr>
                <w:t xml:space="preserve">nnstilling </w:t>
              </w:r>
              <w:r w:rsidR="007053D6">
                <w:rPr>
                  <w:b/>
                  <w:bCs/>
                </w:rPr>
                <w:t>i saken</w:t>
              </w:r>
              <w:r w:rsidRPr="00853B6B" w:rsidR="008D2DF4">
                <w:rPr>
                  <w:b/>
                  <w:bCs/>
                </w:rPr>
                <w:t>,</w:t>
              </w:r>
              <w:r w:rsidRPr="00853B6B" w:rsidR="006E6A9D">
                <w:rPr>
                  <w:b/>
                  <w:bCs/>
                </w:rPr>
                <w:t xml:space="preserve"> </w:t>
              </w:r>
              <w:sdt>
                <w:sdtPr>
                  <w:rPr>
                    <w:b/>
                    <w:bCs/>
                  </w:rPr>
                  <w:alias w:val="VedtaksMøte.Start.KortDato"/>
                  <w:tag w:val="VedtaksMøte.Start.KortDato"/>
                  <w:id w:val="-1067267828"/>
                </w:sdtPr>
                <w:sdtContent>
                  <w:r w:rsidRPr="00853B6B" w:rsidR="00B92A0B">
                    <w:rPr>
                      <w:b/>
                      <w:bCs/>
                    </w:rPr>
                    <w:t xml:space="preserve">19.03.2026</w:t>
                  </w:r>
                </w:sdtContent>
              </w:sdt>
              <w:r w:rsidRPr="00853B6B" w:rsidR="006E6A9D">
                <w:rPr>
                  <w:b/>
                  <w:bCs/>
                </w:rPr>
                <w:t xml:space="preserve"> - </w:t>
              </w:r>
              <w:sdt>
                <w:sdtPr>
                  <w:rPr>
                    <w:b/>
                    <w:bCs/>
                  </w:rPr>
                  <w:alias w:val="Vedtak.OpprettetIGjennomføring.Nummer"/>
                  <w:tag w:val="Vedtak.OpprettetIGjennomføring.Nummer"/>
                  <w:id w:val="2090502998"/>
                </w:sdtPr>
                <w:sdtContent>
                  <w:r w:rsidRPr="00853B6B" w:rsidR="00B92A0B">
                    <w:rPr>
                      <w:b/>
                      <w:bCs/>
                    </w:rPr>
                    <w:t xml:space="preserve">24/26</w:t>
                  </w:r>
                </w:sdtContent>
              </w:sdt>
            </w:p>
            <w:sdt>
              <w:sdtPr>
                <w:alias w:val="Vedtak.Tekst"/>
                <w:tag w:val="Vedtak.Tekst"/>
                <w:id w:val="678242292"/>
              </w:sdtPr>
              <w:sdtContent>
                <w:p>
                  <w:pPr>
                    <w:pStyle w:val="ListParagraph"/>
                    <w:numPr>
                      <w:ilvl w:val="0"/>
                      <w:numId w:val="1"/>
                    </w:numPr>
                  </w:pPr>
                  <w:r>
                    <w:t xml:space="preserve">Porsgrunn kommune slutter seg til representantskapets vedtak i sak 26/24.</w:t>
                  </w:r>
                </w:p>
                <w:p>
                  <w:pPr>
                    <w:pStyle w:val="ListParagraph"/>
                    <w:numPr>
                      <w:ilvl w:val="0"/>
                      <w:numId w:val="1"/>
                    </w:numPr>
                  </w:pPr>
                  <w:r>
                    <w:t xml:space="preserve">Porsgrunn kommune godkjenner at vedtektene revideres i tråd med de forslag som er fremmet.</w:t>
                  </w:r>
                </w:p>
              </w:sdtContent>
            </w:sdt>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pStyle w:val="ListParagraph"/>
                <w:numPr>
                  <w:ilvl w:val="0"/>
                  <w:numId w:val="2"/>
                </w:numPr>
                <w:spacing w:after="160"/>
              </w:pPr>
              <w:r>
                <w:t xml:space="preserve">Porsgrunn kommune slutter seg til representantskapets vedtak i sak 26/24.</w:t>
              </w:r>
            </w:p>
            <w:p>
              <w:pPr>
                <w:pStyle w:val="ListParagraph"/>
                <w:numPr>
                  <w:ilvl w:val="0"/>
                  <w:numId w:val="2"/>
                </w:numPr>
                <w:spacing w:after="160"/>
              </w:pPr>
              <w:r>
                <w:t xml:space="preserve">Porsgrunn kommune godkjenner at vedtektene revideres i tråd med de forslag som er fremmet.</w:t>
              </w:r>
            </w:p>
          </w:sdtContent>
        </w:sdt>
        <w:p w:rsidR="00043C24" w:rsidP="003E7097" w:rsidRDefault="00043C24" w14:paraId="30E7DD88" w14:textId="77777777"/>
        <w:sdt>
          <w:sdtPr>
            <w:alias w:val="FjernHvisTom(GjennomførteBehandlinger)"/>
            <w:tag w:val="FjernHvisTom(GjennomførteBehandlinger)"/>
            <w:id w:val="-1183818393"/>
            <w:placeholder>
              <w:docPart w:val="09F229154AF544DAB87320B653883C91"/>
            </w:placeholder>
            <w:showingPlcHdr/>
          </w:sdtPr>
          <w:sdtContent>
            <w:p w:rsidR="0092234A" w:rsidP="0092234A" w:rsidRDefault="00AB17DF" w14:paraId="64D23712" w14:textId="77777777">
              <w:pPr>
                <w:spacing w:after="160"/>
              </w:pPr>
              <w:r>
                <w:rPr>
                  <w:b/>
                  <w:bCs/>
                </w:rPr>
                <w:t>GJENNOMFØRTE BEHANDLINGER</w:t>
              </w:r>
              <w:r w:rsidRPr="0092234A" w:rsidR="0092234A">
                <w:t xml:space="preserve"> </w:t>
              </w:r>
            </w:p>
            <w:p w:rsidR="00D635FE" w:rsidP="00D635FE" w:rsidRDefault="00000000" w14:paraId="79148967" w14:textId="1C3DA046">
              <w:pPr>
                <w:spacing w:after="160"/>
              </w:pPr>
            </w:p>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Bystyret</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26.03.2026</w:t>
                  </w:r>
                </w:sdtContent>
              </w:sdt>
            </w:p>
            <w:p w:rsidRPr="00853B6B" w:rsidR="00D635FE" w:rsidP="00D635FE" w:rsidRDefault="00D635FE" w14:paraId="41B83B53" w14:textId="77777777"/>
            <w:sdt>
              <w:sdtPr>
                <w:alias w:val="BehandlingsTekst"/>
                <w:tag w:val="BehandlingsTekst"/>
                <w:id w:val="463629446"/>
              </w:sdtPr>
              <w:sdtContent>
                <w:p>
                  <w:r>
                    <w:t xml:space="preserve">Saken utsettes til neste møte i bystyret, da det ikke er tilstrekkelig tid til behandling innenfor bystyrets vedtatte møteslutt kl. 22.</w:t>
                  </w:r>
                </w:p>
                <w:p>
                  <w:r>
                    <w:t xml:space="preserve"> </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Bystyret</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35/26</w:t>
                  </w:r>
                </w:sdtContent>
              </w:sdt>
              <w:r w:rsidRPr="00853B6B" w:rsidR="00F53DD3">
                <w:rPr>
                  <w:b/>
                  <w:bCs/>
                </w:rPr>
                <w:t xml:space="preserve"> vedtak</w:t>
              </w:r>
              <w:r w:rsidRPr="00F53DD3" w:rsidR="00F53DD3">
                <w:t xml:space="preserve"> </w:t>
              </w:r>
            </w:p>
            <w:sdt>
              <w:sdtPr>
                <w:alias w:val="VedtaksTekst"/>
                <w:tag w:val="VedtaksTekst"/>
                <w:id w:val="1440566899"/>
              </w:sdtPr>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Formannskapet</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19.03.2026</w:t>
                  </w:r>
                </w:sdtContent>
              </w:sdt>
            </w:p>
            <w:p w:rsidRPr="00853B6B" w:rsidR="00D635FE" w:rsidP="00D635FE" w:rsidRDefault="00D635FE" w14:paraId="41B83B53" w14:textId="77777777"/>
            <w:sdt>
              <w:sdtPr>
                <w:alias w:val="BehandlingsTekst"/>
                <w:tag w:val="BehandlingsTekst"/>
                <w:id w:val="463629446"/>
              </w:sdtPr>
              <w:sdtContent>
                <w:p>
                  <w:r>
                    <w:t xml:space="preserve">Ingen merknad til kommunedirektørens innstilling.</w:t>
                  </w:r>
                </w:p>
                <w:p>
                  <w:r>
                    <w:rPr>
                      <w:b/>
                    </w:rPr>
                    <w:t xml:space="preserve">Votering</w:t>
                  </w:r>
                </w:p>
                <w:p>
                  <w:r>
                    <w:t xml:space="preserve">Kommunedirektørens innstilling enstemmig vedtatt.</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Formannskapet</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24/26</w:t>
                  </w:r>
                </w:sdtContent>
              </w:sdt>
              <w:r w:rsidRPr="00853B6B" w:rsidR="00F53DD3">
                <w:rPr>
                  <w:b/>
                  <w:bCs/>
                </w:rPr>
                <w:t xml:space="preserve"> vedtak</w:t>
              </w:r>
              <w:r w:rsidRPr="00F53DD3" w:rsidR="00F53DD3">
                <w:t xml:space="preserve"> </w:t>
              </w:r>
            </w:p>
            <w:sdt>
              <w:sdtPr>
                <w:alias w:val="VedtaksTekst"/>
                <w:tag w:val="VedtaksTekst"/>
                <w:id w:val="1440566899"/>
              </w:sdtPr>
              <w:sdtContent>
                <w:p>
                  <w:pPr>
                    <w:pStyle w:val="ListParagraph"/>
                    <w:numPr>
                      <w:ilvl w:val="0"/>
                      <w:numId w:val="3"/>
                    </w:numPr>
                  </w:pPr>
                  <w:r>
                    <w:t xml:space="preserve">Porsgrunn kommune slutter seg til representantskapets vedtak i sak 26/24.</w:t>
                  </w:r>
                </w:p>
                <w:p>
                  <w:pPr>
                    <w:pStyle w:val="ListParagraph"/>
                    <w:numPr>
                      <w:ilvl w:val="0"/>
                      <w:numId w:val="3"/>
                    </w:numPr>
                  </w:pPr>
                  <w:r>
                    <w:t xml:space="preserve">Porsgrunn kommune godkjenner at vedtektene revideres i tråd med de forslag som er fremmet.</w:t>
                  </w:r>
                </w:p>
              </w:sdtContent>
            </w:sdt>
            <w:p w:rsidRPr="00853B6B" w:rsidR="00F53DD3" w:rsidP="00D635FE" w:rsidRDefault="00000000" w14:paraId="67564714" w14:textId="77777777"/>
          </w:sdtContent>
        </w:sdt>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Porsgrunn kommune har i januar 2025 fått oversendt eieravtale, selskapsavtale og retningslinjer for valgkomiteen fra Grenland Havn IKS. Selskapet omtaler disse dokumentene som "vedtekter" i sin oversendelse.  </w:t>
              </w:r>
            </w:p>
            <w:p>
              <w:pPr>
                <w:spacing w:after="160"/>
              </w:pPr>
              <w:r>
                <w:t xml:space="preserve">I perioden fra disse dokumentene ble sendt til administrasjonen, har eierne og selskapet hatt gående en prosess for å etablere en felles eierstrategi overfor GH.  Etter administrasjonens syn har det vært viktig at det er konsistens, dvs. sammenheng, mellom selskapsavtale og eierstrategi.  Konkret har det vært en diskusjon om eierstrategien også skal omhandle at eierne kan motta utdeling fra selskapet i tråd med havne- og farvannsloven.  Dersom eierne vedtar en eierstrategi hvor det er anledning til å motta utdeling, bør selskapsavtalen omhandle det samme.  Etter en høringsprosess, hvor representantskapet i selskapet har avgitt sin høringsuttalelse, velger administrasjonen å ikke innstille på forventninger om utdeling fra selskapet.  Da er det heller ingen grunn til å holde igjen behandling av selskapsavtalen.  Eieravtale, selskapsavtale og retningslinjer for valgkomiteen kommer derfor til behandling nå.</w:t>
              </w:r>
            </w:p>
            <w:p>
              <w:pPr>
                <w:spacing w:after="160"/>
              </w:pPr>
              <w:r>
                <w:t xml:space="preserve"> </w:t>
              </w:r>
            </w:p>
          </w:sdtContent>
        </w:sdt>
        <w:sdt>
          <w:sdtPr>
            <w:alias w:val="SaksTekst"/>
            <w:tag w:val="SaksTekst"/>
            <w:id w:val="-1309477531"/>
          </w:sdtPr>
          <w:sdtContent>
            <w:p>
              <w:pPr>
                <w:spacing w:after="160"/>
              </w:pPr>
              <w:r>
                <w:rPr>
                  <w:b/>
                </w:rPr>
                <w:t xml:space="preserve">Saksfremstilling</w:t>
              </w:r>
            </w:p>
            <w:p>
              <w:pPr>
                <w:spacing w:after="160"/>
              </w:pPr>
              <w:r>
                <w:t xml:space="preserve">Selskapet har sendt over en redegjørelse over de viktigste endringene, med en oppsummering av behandling i styret og representantskap, samt forslag til vedtak til kommunene. Oversendelsen finnes vedlagt saken.  I vedlegget som om handler vedtekter til revisjon _med spor endringer, er det tydelig vist hvilke endringer som foreslås.</w:t>
              </w:r>
            </w:p>
            <w:p>
              <w:pPr>
                <w:spacing w:after="160"/>
              </w:pPr>
              <w:r>
                <w:t xml:space="preserve">Fra oversendelsen hitsettes "Oppsummering av de viktigste endringene":</w:t>
              </w:r>
            </w:p>
            <w:p>
              <w:pPr>
                <w:spacing w:after="160"/>
              </w:pPr>
              <w:r>
                <w:rPr>
                  <w:b/>
                  <w:i/>
                </w:rPr>
                <w:t xml:space="preserve">"Oppsummering av de største endringene</w:t>
              </w:r>
              <w:r>
                <w:br/>
              </w:r>
              <w:r>
                <w:rPr>
                  <w:i/>
                </w:rPr>
                <w:t xml:space="preserve">Det er særlig henvisningsfeil i forbindelse med lovendringer som er rettet. En ønsker færrest mulig paragrafhenvisninger for å redusere sårbarhet i forhold til fremtidige lovendringer.</w:t>
              </w:r>
            </w:p>
            <w:p>
              <w:pPr>
                <w:spacing w:after="160"/>
              </w:pPr>
              <w:r>
                <w:rPr>
                  <w:i/>
                </w:rPr>
                <w:t xml:space="preserve">Henvisningen til reglene om havnekapital er oppdatert. Dagens havne- og farvannslov regulerer spørsmålet om forvaltning av kapital i § 32 og den største endringer ligger i kommunenes mulighet til å ta utbytte.</w:t>
              </w:r>
            </w:p>
            <w:p>
              <w:pPr>
                <w:spacing w:after="160"/>
              </w:pPr>
              <w:r>
                <w:rPr>
                  <w:i/>
                </w:rPr>
                <w:t xml:space="preserve">Selv om ny havne- og farvannslov åpner for utdeling til eierne i form av utbytte eller innskudd, er det likevel verdt å merke seg at en slik utdeling skal vedtektsfestes og vil utløse skatteplikt for hele virksomheten. Utdeling av utbytte vil medføre at Grenland Havn IKS kommer i skatteposisjon. Gitt selskapets økonomiske situasjon og de investeringer som er planlagt på Frier Vest fremover, er ikke selskapet rustet for å gi adgang til å ta utbytte. Det foreslås derfor en vedtektsendring hvis/når det skulle bli aktuelt frem i tid. Skatteetaten har i oktober 2022 avgitt en prinsipputtalelse om fritak fra skatteplikt for offentlig havnevirksomhet etter skatteloven §2-32. Formålsparagrafen i vedtektene til Grenland Havn IKS er formulert slik at selskapet opererer innenfor havnelovens rammer for unntak av skatteplikt, jf. §2-32, 1. ledd.</w:t>
              </w:r>
            </w:p>
            <w:p>
              <w:pPr>
                <w:spacing w:after="160"/>
              </w:pPr>
              <w:r>
                <w:rPr>
                  <w:i/>
                </w:rPr>
                <w:t xml:space="preserve">Eieravtalens bestemmelser om utbytte i lys av lovendringene er vurdert, og en ser ikke at det er behov for justeringer av hensyn til skattedirektoratets prinsipputtalelse om skatt av IKS havner. </w:t>
              </w:r>
            </w:p>
            <w:p>
              <w:pPr>
                <w:spacing w:after="160"/>
              </w:pPr>
              <w:r>
                <w:rPr>
                  <w:i/>
                </w:rPr>
                <w:t xml:space="preserve">Det er ikke nødvendig å foreta en justering av formålsparagrafen i lys av arbeidet med Frier Vest-prosjektet. </w:t>
              </w:r>
            </w:p>
            <w:p>
              <w:pPr>
                <w:spacing w:after="160"/>
              </w:pPr>
              <w:r>
                <w:rPr>
                  <w:i/>
                </w:rPr>
                <w:t xml:space="preserve">Ny IKS lov sier noe om antall vara som skal oppnevnes til representantskapet, også dette er oppdatert i Selskapsavtalen. Det skal velges minst to varamedlemmer for hvert faste medlem til representantskapet.</w:t>
              </w:r>
            </w:p>
            <w:p>
              <w:pPr>
                <w:spacing w:after="160"/>
              </w:pPr>
              <w:r>
                <w:rPr>
                  <w:i/>
                </w:rPr>
                <w:t xml:space="preserve">Representantskapet vedtok i sak 02/24 (valg av nytt styre for perioden 2024-2025), å endre antall varamedlemmer til styret. Erfaringsmessig er det godt oppmøte i styret, og kravet om 3. vara er tatt ut av retningslinjer for valgkomitéen ved denne revisjon. </w:t>
              </w:r>
            </w:p>
            <w:p>
              <w:pPr>
                <w:spacing w:after="160"/>
              </w:pPr>
              <w:r>
                <w:rPr>
                  <w:i/>
                </w:rPr>
                <w:t xml:space="preserve">Av hensyn til oppdateringene som her gjøres, foreslås det at Eieravtale signeres av dagens tre ordførere i eierkommunene."</w:t>
              </w:r>
            </w:p>
            <w:p>
              <w:pPr>
                <w:spacing w:after="160"/>
              </w:pPr>
              <w:r>
                <w:rPr>
                  <w:b/>
                </w:rPr>
                <w:t xml:space="preserve">Porsgrunn kommunes representanter i representantskapet.</w:t>
              </w:r>
            </w:p>
            <w:p>
              <w:pPr>
                <w:spacing w:after="160"/>
              </w:pPr>
              <w:r>
                <w:t xml:space="preserve">Porsgrunn kommune har følgende </w:t>
              </w:r>
              <w:r>
                <w:rPr>
                  <w:b/>
                </w:rPr>
                <w:t xml:space="preserve">representanter i representantskapet til Grenland Havn IKS:</w:t>
              </w:r>
            </w:p>
            <w:tbl>
              <w:tblPr>
                <w:tblStyle w:val="TableGrid"/>
                <w:tblW w:w="0" w:type="auto"/>
                <w:tblLook w:firstRow="false" w:lastRow="false" w:firstColumn="false" w:lastColumn="false"/>
              </w:tblPr>
              <w:tblGrid>
                <w:gridCol/>
                <w:gridCol/>
              </w:tblGrid>
              <w:tr>
                <w:trPr>
                  <w:tblCellSpacing w:w="0" w:type="dxa"/>
                </w:trPr>
                <w:tc>
                  <w:tcPr>
                    <w:vAlign w:val="center"/>
                  </w:tcPr>
                  <w:p>
                    <w:pPr>
                      <w:spacing w:after="160"/>
                    </w:pPr>
                    <w:r>
                      <w:t xml:space="preserve">Representanter</w:t>
                    </w:r>
                  </w:p>
                </w:tc>
                <w:tc>
                  <w:tcPr>
                    <w:vAlign w:val="center"/>
                  </w:tcPr>
                  <w:p>
                    <w:pPr>
                      <w:spacing w:after="160"/>
                    </w:pPr>
                    <w:r>
                      <w:t xml:space="preserve">Vararepresentanter</w:t>
                    </w:r>
                  </w:p>
                </w:tc>
              </w:tr>
              <w:tr>
                <w:trPr>
                  <w:tblCellSpacing w:w="0" w:type="dxa"/>
                </w:trPr>
                <w:tc>
                  <w:tcPr>
                    <w:vAlign w:val="center"/>
                  </w:tcPr>
                  <w:p>
                    <w:pPr>
                      <w:spacing w:after="160"/>
                    </w:pPr>
                    <w:r>
                      <w:t xml:space="preserve">Trond Ingebretsen (Ap)</w:t>
                    </w:r>
                  </w:p>
                </w:tc>
                <w:tc>
                  <w:tcPr>
                    <w:vAlign w:val="center"/>
                  </w:tcPr>
                  <w:p>
                    <w:pPr>
                      <w:spacing w:after="160"/>
                    </w:pPr>
                    <w:r>
                      <w:t xml:space="preserve">Tone Skau Jonassen (Ap)</w:t>
                    </w:r>
                    <w:r>
                      <w:br/>
                    </w:r>
                    <w:r>
                      <w:t xml:space="preserve">Tommy Berge Olsen (Ap)</w:t>
                    </w:r>
                  </w:p>
                </w:tc>
              </w:tr>
              <w:tr>
                <w:trPr>
                  <w:tblCellSpacing w:w="0" w:type="dxa"/>
                </w:trPr>
                <w:tc>
                  <w:tcPr>
                    <w:vAlign w:val="center"/>
                  </w:tcPr>
                  <w:p>
                    <w:pPr>
                      <w:spacing w:after="160"/>
                    </w:pPr>
                    <w:r>
                      <w:t xml:space="preserve">Nelly Olsen (FrP)</w:t>
                    </w:r>
                  </w:p>
                </w:tc>
                <w:tc>
                  <w:tcPr>
                    <w:vAlign w:val="center"/>
                  </w:tcPr>
                  <w:p>
                    <w:pPr>
                      <w:spacing w:after="160"/>
                    </w:pPr>
                    <w:r>
                      <w:t xml:space="preserve">Jan Egil Aronsen (SV)</w:t>
                    </w:r>
                    <w:r>
                      <w:br/>
                    </w:r>
                    <w:r>
                      <w:t xml:space="preserve">Stian Ø. R. Aasoldsen (Sp)</w:t>
                    </w:r>
                  </w:p>
                </w:tc>
              </w:tr>
              <w:tr>
                <w:trPr>
                  <w:tblCellSpacing w:w="0" w:type="dxa"/>
                </w:trPr>
                <w:tc>
                  <w:tcPr>
                    <w:vAlign w:val="center"/>
                  </w:tcPr>
                  <w:p>
                    <w:pPr>
                      <w:spacing w:after="160"/>
                    </w:pPr>
                    <w:r>
                      <w:t xml:space="preserve">Anne C. Syversen (H)</w:t>
                    </w:r>
                  </w:p>
                </w:tc>
                <w:tc>
                  <w:tcPr>
                    <w:vAlign w:val="center"/>
                  </w:tcPr>
                  <w:p>
                    <w:pPr>
                      <w:spacing w:after="160"/>
                    </w:pPr>
                    <w:r>
                      <w:t xml:space="preserve">Amalie Rossland Christiansen (MDG)</w:t>
                    </w:r>
                    <w:r>
                      <w:br/>
                    </w:r>
                    <w:r>
                      <w:t xml:space="preserve">Leif S. Bryn (H)</w:t>
                    </w:r>
                  </w:p>
                </w:tc>
              </w:tr>
              <w:tr>
                <w:trPr>
                  <w:tblCellSpacing w:w="0" w:type="dxa"/>
                </w:trPr>
                <w:tc>
                  <w:tcPr>
                    <w:vAlign w:val="center"/>
                  </w:tcPr>
                  <w:p>
                    <w:pPr>
                      <w:spacing w:after="160"/>
                    </w:pPr>
                    <w:r>
                      <w:t xml:space="preserve">Esben Storvand (H)</w:t>
                    </w:r>
                  </w:p>
                </w:tc>
                <w:tc>
                  <w:tcPr>
                    <w:vAlign w:val="center"/>
                  </w:tcPr>
                  <w:p>
                    <w:pPr>
                      <w:spacing w:after="160"/>
                    </w:pPr>
                    <w:r>
                      <w:t xml:space="preserve">Gordon Kleppe (KrF)</w:t>
                    </w:r>
                    <w:r>
                      <w:br/>
                    </w:r>
                    <w:r>
                      <w:t xml:space="preserve">Tine Rørvik (H)</w:t>
                    </w:r>
                  </w:p>
                </w:tc>
              </w:tr>
            </w:tbl>
            <w:p>
              <w:pPr>
                <w:spacing w:after="160"/>
              </w:pPr>
              <w:r>
                <w:t xml:space="preserve"> </w:t>
              </w:r>
            </w:p>
            <w:p>
              <w:pPr>
                <w:spacing w:after="160"/>
              </w:pPr>
              <w:r>
                <w:rPr>
                  <w:b/>
                </w:rPr>
                <w:t xml:space="preserve">Kommunedirektørens vurdering</w:t>
              </w:r>
            </w:p>
            <w:p>
              <w:pPr>
                <w:spacing w:after="160"/>
              </w:pPr>
              <w:r>
                <w:t xml:space="preserve">Det er fornuftig å ta en gjennomgang av styrende dokumenter, som eieravtale, selskapsavtale og retningslinjer for valgkomiteen, med ujevne mellomrom.  Formålet er å avstemme at dokumenteneer i tråd med gjeldende lovverk, samt at de har det ønskede innhold.  Ut fra gjennomgangen som er gjort, støtter kommunedirektøren den oppdatering av disse dokumentene som selskapet foreslår.</w:t>
              </w:r>
            </w:p>
            <w:p>
              <w:pPr>
                <w:spacing w:after="160"/>
              </w:pPr>
              <w:r>
                <w:rPr>
                  <w:b/>
                </w:rPr>
                <w:t xml:space="preserve">Konklusjon</w:t>
              </w:r>
            </w:p>
            <w:p>
              <w:pPr>
                <w:spacing w:after="160"/>
              </w:pPr>
              <w:r>
                <w:t xml:space="preserve">Administrasjonens konklusjon fremgår av forslag til vedtak</w:t>
              </w:r>
            </w:p>
            <w:p>
              <w:pPr>
                <w:spacing w:after="160"/>
              </w:pPr>
              <w:r>
                <w:rPr>
                  <w:b/>
                </w:rPr>
                <w:t xml:space="preserve">Effekten av saken </w:t>
              </w:r>
              <w:r>
                <w:br/>
              </w:r>
              <w:r>
                <w:t xml:space="preserve">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tilpasning til aldersvennlig samfunn</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sdt>
          <w:sdtPr>
            <w:alias w:val="SaksVedlegg"/>
            <w:tag w:val="SaksVedlegg"/>
            <w:id w:val="1638527878"/>
            <w:placeholder>
              <w:docPart w:val="731B8AA581E244DCB3B36835AB1DD8C8"/>
            </w:placeholder>
            <w:showingPlcHdr/>
          </w:sdtPr>
          <w:sdtContent>
            <w:tbl>
              <w:tblPr>
                <w:tblW w:w="0" w:type="auto"/>
                <w:tblCellMar>
                  <w:left w:w="0" w:type="dxa"/>
                  <w:right w:w="0" w:type="dxa"/>
                </w:tblCellMar>
                <w:tblLook w:val="0620" w:firstRow="1" w:lastRow="0" w:firstColumn="0" w:lastColumn="0" w:noHBand="1" w:noVBand="1"/>
              </w:tblPr>
              <w:tblGrid>
                <w:gridCol w:w="9070"/>
              </w:tblGrid>
              <w:tr w:rsidRPr="00853B6B" w:rsidR="00853B6B" w:rsidTr="001253D8" w14:paraId="707CE68B" w14:textId="77777777">
                <w:tc>
                  <w:tcPr>
                    <w:tcW w:w="9158" w:type="dxa"/>
                  </w:tcPr>
                  <w:p w:rsidRPr="00853B6B" w:rsidR="00FD6628" w:rsidP="003E7097" w:rsidRDefault="00FD6628" w14:paraId="72DF02D7" w14:textId="77777777">
                    <w:r w:rsidRPr="00853B6B">
                      <w:t>Vedlegg</w:t>
                    </w:r>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Revisjon av vedtekter, Eieravtale, Selskapsavtale og retningslinjer for valgkomitéen - Grenland Havn IKS</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Sak til kommunene - Vedtekter til revisjon_med spor endringer.pdf</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Sak til kommunene - vedlegg_Orientering om nye regler for IKS.pdf</w:t>
                        </w:r>
                      </w:sdtContent>
                    </w:sdt>
                  </w:p>
                </w:tc>
              </w:tr>
            </w:tbl>
            <w:p w:rsidRPr="00853B6B" w:rsidR="00FD6628" w:rsidP="003E7097" w:rsidRDefault="00000000" w14:paraId="67CB32F6" w14:textId="77777777"/>
          </w:sdtContent>
        </w:sdt>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1">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2">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num w:numId="1">
    <w:abstractNumId w:val="0"/>
    <w:lvlOverride w:ilvl="0">
      <w:startOverride w:val="1"/>
    </w:lvlOverride>
  </w:num>
  <w:num w:numId="2">
    <w:abstractNumId w:val="1"/>
    <w:lvlOverride w:ilvl="0">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46d4574fefd044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Grenland Havn IKS - Revisjon av selskapsavtale, eieravtale og retningslinjer for valgkomiteen</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