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25/11919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6</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10.02.2026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Oppfølging av anmodning om lovlighetskontroll av vedtak i sak PS 09/26 og PS 10/26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Bystyret opprettholder vedtak i sak PS 09/26 og PS 10/26.</w:t>
              </w:r>
            </w:p>
            <w:p>
              <w:pPr>
                <w:pStyle w:val="ListParagraph"/>
                <w:numPr>
                  <w:ilvl w:val="0"/>
                  <w:numId w:val="1"/>
                </w:numPr>
                <w:spacing w:after="160"/>
              </w:pPr>
              <w:r>
                <w:t xml:space="preserve">Anmodning om lovlighetskontroll oversendes Statsforvalteren for behandling, jf. kommuneloven § 27-1.</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37/26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I henhold til </w:t>
              </w:r>
              <w:hyperlink w:history="true" r:id="R7374f398eeae430f">
                <w:r>
                  <w:rPr>
                    <w:rStyle w:val="Hyperlink"/>
                  </w:rPr>
                  <w:t xml:space="preserve">Kommuneloven § 27-1 første ledd</w:t>
                </w:r>
              </w:hyperlink>
              <w:r>
                <w:t xml:space="preserve"> kan tre eller flere medlemmer av et folkevalgt organ kreve lovlighetskontroll av et vedtak, forutsatt at kravet fremmes innen tre uker etter at vedtaket ble truffet. Etter bestemmelsens fjerde ledd skal organet som traff vedtaket foreta en ny vurdering av saken.</w:t>
              </w:r>
            </w:p>
            <w:p>
              <w:pPr>
                <w:spacing w:after="160"/>
              </w:pPr>
              <w:r>
                <w:t xml:space="preserve">Anmodning om lovlighetskontroll av bystyrets vedtak i sak PS 09/26 og PS 10/26 ble første gang fremsatt ved slutten av bystyremøte 05.02.26. Kravet anses dermed som rettidig fremsatt.</w:t>
              </w:r>
            </w:p>
            <w:p>
              <w:pPr>
                <w:spacing w:after="160"/>
              </w:pPr>
              <w:r>
                <w:t xml:space="preserve">Det ble i møtet oppfattet at anmodningen gjaldt behandlingen i Utvalg for miljø og byutvikling (UMB), og det ble derfor i første omgang foreslått at utvalget skulle følge opp saken. Dette samsvarte ikke med ønsket fra representantene som fremmet anmodningen. Det ble som følge av dette levert inn ytterligere tre nye anmodninger om lovlighetskontroll 10.02.26, ett til hvert utvalg hvor sakene var meldt opp.</w:t>
              </w:r>
            </w:p>
            <w:p>
              <w:pPr>
                <w:spacing w:after="160"/>
              </w:pPr>
              <w:r>
                <w:t xml:space="preserve">I samråd med innsenderne ble det avklart at anmodningen skulle behandles av bystyret. Dette er begrunnet med at:</w:t>
              </w:r>
            </w:p>
            <w:p>
              <w:pPr>
                <w:pStyle w:val="ListParagraph"/>
                <w:numPr>
                  <w:ilvl w:val="0"/>
                  <w:numId w:val="2"/>
                </w:numPr>
                <w:spacing w:after="160"/>
              </w:pPr>
              <w:r>
                <w:t xml:space="preserve">Det var innsendernes opprinnelige ønske.</w:t>
              </w:r>
            </w:p>
            <w:p>
              <w:pPr>
                <w:pStyle w:val="ListParagraph"/>
                <w:numPr>
                  <w:ilvl w:val="0"/>
                  <w:numId w:val="2"/>
                </w:numPr>
                <w:spacing w:after="160"/>
              </w:pPr>
              <w:r>
                <w:t xml:space="preserve">Bystyret kan omgjøre vedtak som er truffet av andre folkevalgte organer eller av administrasjonen, hvis disse selv kunne ha omgjort vedtaket, jf.</w:t>
              </w:r>
              <w:hyperlink w:history="true" r:id="R3f2fc8dad282440a">
                <w:r>
                  <w:rPr>
                    <w:rStyle w:val="Hyperlink"/>
                  </w:rPr>
                  <w:t xml:space="preserve"> Kommuneloven § 22-1 tredje ledd</w:t>
                </w:r>
              </w:hyperlink>
              <w:r>
                <w:t xml:space="preserve">.</w:t>
              </w:r>
            </w:p>
            <w:p>
              <w:pPr>
                <w:pStyle w:val="ListParagraph"/>
                <w:numPr>
                  <w:ilvl w:val="0"/>
                  <w:numId w:val="2"/>
                </w:numPr>
                <w:spacing w:after="160"/>
              </w:pPr>
              <w:r>
                <w:t xml:space="preserve">Det kun er endelige avgjørelser som kan bringes inn for lovlighetskontroll, jf. </w:t>
              </w:r>
              <w:hyperlink w:history="true" r:id="R88e5adce0ebd4c06">
                <w:r>
                  <w:rPr>
                    <w:rStyle w:val="Hyperlink"/>
                  </w:rPr>
                  <w:t xml:space="preserve">Kommuneloven § 27-2 første ledd punkt a</w:t>
                </w:r>
              </w:hyperlink>
              <w:r>
                <w:t xml:space="preserve">, med videre kommentarer i forarbeidene </w:t>
              </w:r>
              <w:hyperlink w:history="true" r:id="Rb7f7fa3bfac24bae">
                <w:r>
                  <w:rPr>
                    <w:rStyle w:val="Hyperlink"/>
                  </w:rPr>
                  <w:t xml:space="preserve">Prop. 46 L (2017–2018) punkt 27.1.1.</w:t>
                </w:r>
              </w:hyperlink>
            </w:p>
            <w:p>
              <w:pPr>
                <w:spacing w:after="160"/>
              </w:pPr>
              <w:r>
                <w:t xml:space="preserve"> </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I anmodningen vises det til at sakene ble behandlet og endelig vedtatt i bystyret, til tross for at sakene i forkant ble avvist i Utvalg for miljø og byutvikling.</w:t>
              </w:r>
            </w:p>
            <w:p>
              <w:pPr>
                <w:spacing w:after="160"/>
              </w:pPr>
              <w:r>
                <w:t xml:space="preserve">Sakene var kun lagt frem til orientering i UMB. Dette kom imidlertid ikke tydelig frem i saksdokumentene, ettersom de inneholdt en innstilling til vedtak. Årsaken er at saker som senere skal til politisk behandling må meldes opp som politiske saker i systemet. For at historikk og eventuelle uttalelser skal følge saken videre, må samme saksfremlegg brukes i alle utvalg, også der saken kun legges frem til orientering. Det ble forsøkt presisert i voteringsløsningen, hvor innstillingen var endret til;  </w:t>
              </w:r>
              <w:r>
                <w:rPr>
                  <w:i/>
                </w:rPr>
                <w:t xml:space="preserve">UMB tar saken til orientering</w:t>
              </w:r>
              <w:r>
                <w:t xml:space="preserve">. Uklarheten skyldes altså en svakhet i saksbehandlingssystemet, og det arbeides nå med å finne en bedre løsning. På grunn av denne uklarheten ble sakene avvist i utvalget.</w:t>
              </w:r>
            </w:p>
            <w:p>
              <w:pPr>
                <w:spacing w:after="160"/>
              </w:pPr>
              <w:r>
                <w:t xml:space="preserve">Sakene var imidlertid allerede satt på sakslisten til formannskapets møte 29.01.26, samme uke som behandlingen i UMB. Formannskapet er innstillende organ til bystyret i disse sakene.</w:t>
              </w:r>
            </w:p>
            <w:p>
              <w:pPr>
                <w:spacing w:after="160"/>
              </w:pPr>
              <w:r>
                <w:t xml:space="preserve">Formannskapet avga innstilling i begge saker.</w:t>
              </w:r>
            </w:p>
            <w:p>
              <w:pPr>
                <w:spacing w:after="160"/>
              </w:pPr>
              <w:r>
                <w:t xml:space="preserve">Sak PS 09/26 ble vedtatt av bystyret med to stemmer imot.</w:t>
              </w:r>
            </w:p>
            <w:p>
              <w:pPr>
                <w:spacing w:after="160"/>
              </w:pPr>
              <w:r>
                <w:t xml:space="preserve">Sak PS 10/26 ble enstemmig vedtatt av bystyret.</w:t>
              </w:r>
            </w:p>
            <w:p>
              <w:pPr>
                <w:spacing w:after="160"/>
              </w:pPr>
              <w:r>
                <w:br/>
              </w:r>
              <w:r>
                <w:rPr>
                  <w:b/>
                </w:rPr>
                <w:t xml:space="preserve">Rettslig utgangspunkt</w:t>
              </w:r>
            </w:p>
            <w:p>
              <w:pPr>
                <w:spacing w:after="160"/>
              </w:pPr>
              <w:r>
                <w:t xml:space="preserve">Lovlighetskontrollen skal etter </w:t>
              </w:r>
              <w:hyperlink w:history="true" r:id="R12bd1c473d9840a4">
                <w:r>
                  <w:rPr>
                    <w:rStyle w:val="Hyperlink"/>
                  </w:rPr>
                  <w:t xml:space="preserve">Kommuneloven § 27-3</w:t>
                </w:r>
              </w:hyperlink>
              <w:r>
                <w:t xml:space="preserve"> omfatte en vurdering av:</w:t>
              </w:r>
            </w:p>
            <w:p>
              <w:pPr>
                <w:pStyle w:val="ListParagraph"/>
                <w:numPr>
                  <w:ilvl w:val="0"/>
                  <w:numId w:val="3"/>
                </w:numPr>
                <w:spacing w:after="160"/>
              </w:pPr>
              <w:r>
                <w:t xml:space="preserve">Om vedtaket er truffet av rett organ</w:t>
              </w:r>
            </w:p>
            <w:p>
              <w:pPr>
                <w:pStyle w:val="ListParagraph"/>
                <w:numPr>
                  <w:ilvl w:val="0"/>
                  <w:numId w:val="3"/>
                </w:numPr>
                <w:spacing w:after="160"/>
              </w:pPr>
              <w:r>
                <w:t xml:space="preserve">Om vedtaket er blitt til på lovlig måte</w:t>
              </w:r>
            </w:p>
            <w:p>
              <w:pPr>
                <w:pStyle w:val="ListParagraph"/>
                <w:numPr>
                  <w:ilvl w:val="0"/>
                  <w:numId w:val="3"/>
                </w:numPr>
                <w:spacing w:after="160"/>
              </w:pPr>
              <w:r>
                <w:t xml:space="preserve">Om vedtaket har et lovlig innhold</w:t>
              </w:r>
            </w:p>
            <w:p>
              <w:pPr>
                <w:spacing w:after="160"/>
              </w:pPr>
              <w:r>
                <w:t xml:space="preserve">Lovlighetskontroll medfører ikke automatisk utsatt iverksetting av vedtaket, og vedtaket er i disse sakene fulgt opp og med iverksettelse. Organet som traff vedtaket, i dette tilfelle Bystyret, kan likevel bestemme at vedtaket ikke skal iverksettes før lovlighetskontrollen er gjennomført. </w:t>
              </w:r>
            </w:p>
            <w:p>
              <w:pPr>
                <w:spacing w:after="160"/>
              </w:pPr>
              <w:r>
                <w:br/>
              </w:r>
              <w:r>
                <w:rPr>
                  <w:b/>
                </w:rPr>
                <w:t xml:space="preserve">Kommunedirektørens vurdering</w:t>
              </w:r>
            </w:p>
            <w:p>
              <w:pPr>
                <w:spacing w:after="160"/>
              </w:pPr>
              <w:r>
                <w:t xml:space="preserve">I den fremsatte anmodningen reises det spørsmål om hvorvidt vedtakene er blitt til på lovlig måte, siden sakene først ble avvist i UMB før de senere ble behandlet og vedtatt i bystyret.</w:t>
              </w:r>
            </w:p>
            <w:p>
              <w:pPr>
                <w:spacing w:after="160"/>
              </w:pPr>
              <w:r>
                <w:t xml:space="preserve">Det sentrale vurderingstemaet er om avvisningen i UMB hadde rettslig betydning for Bystyrets adgang til å behandle og fatte vedtak i saken, sett i lys av at:</w:t>
              </w:r>
            </w:p>
            <w:p>
              <w:pPr>
                <w:pStyle w:val="ListParagraph"/>
                <w:numPr>
                  <w:ilvl w:val="0"/>
                  <w:numId w:val="4"/>
                </w:numPr>
                <w:spacing w:after="160"/>
              </w:pPr>
              <w:r>
                <w:t xml:space="preserve">Sakene kun var meldt opp til orientering i UMB</w:t>
              </w:r>
            </w:p>
            <w:p>
              <w:pPr>
                <w:pStyle w:val="ListParagraph"/>
                <w:numPr>
                  <w:ilvl w:val="0"/>
                  <w:numId w:val="4"/>
                </w:numPr>
                <w:spacing w:after="160"/>
              </w:pPr>
              <w:r>
                <w:t xml:space="preserve">Det var Formannskapet som avga innstilling til bystyret</w:t>
              </w:r>
            </w:p>
            <w:p>
              <w:pPr>
                <w:pStyle w:val="ListParagraph"/>
                <w:numPr>
                  <w:ilvl w:val="0"/>
                  <w:numId w:val="4"/>
                </w:numPr>
                <w:spacing w:after="160"/>
              </w:pPr>
              <w:r>
                <w:t xml:space="preserve">Bystyret er kommunens øverste organ og traff det endelige vedtaket</w:t>
              </w:r>
            </w:p>
            <w:p>
              <w:pPr>
                <w:spacing w:after="160"/>
              </w:pPr>
              <w:r>
                <w:t xml:space="preserve">Bystyret må i denne saken ta stilling til om det foreligger forhold som tilsier at vedtakene ikke er blitt til på lovlig måte, eller om vedtakene opprettholdes og saken oversendes til Statsforvalteren for lovlighetskontroll. </w:t>
              </w:r>
            </w:p>
            <w:p>
              <w:pPr>
                <w:spacing w:after="160"/>
              </w:pPr>
              <w:r>
                <w:t xml:space="preserve">Etter </w:t>
              </w:r>
              <w:hyperlink w:history="true" r:id="R28cae5b74edc45b0">
                <w:r>
                  <w:rPr>
                    <w:rStyle w:val="Hyperlink"/>
                  </w:rPr>
                  <w:t xml:space="preserve">Kommuneloven § 27-2 andre ledd bokstav a</w:t>
                </w:r>
              </w:hyperlink>
              <w:r>
                <w:t xml:space="preserve"> kan andre prosessledende avgjørelser enn endelige vedtak, samt vedtak om åpne eller lukkede møter, ikke lovlighetskontrolleres. På bakgrunn av de avklaringer som nå foreligger om saksgangen, og hvilken betydning avvisningen i UMB hadde for Bystyrets endelige vedtak, bes innsenderne vurdere om det fortsatt er grunnlag for å opprettholde anmodningen om lovlighetskontroll før saken eventuelt oversendes til Statsforvalteren for videre behandling.</w:t>
              </w:r>
            </w:p>
            <w:p>
              <w:pPr>
                <w:spacing w:after="160"/>
              </w:pPr>
              <w:r>
                <w:br/>
              </w: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p>
              <w:pPr>
                <w:spacing w:after="160"/>
              </w:pPr>
              <w:r>
                <w:t xml:space="preserve">Dersom vedtakene blir kjent ugyldige, vil dette kunne få økonomiske konsekvenser for regnskapsåret 2026 og skape enkelte utfordringer ved beregningen av gebyrgrunnlaget for 2027.</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253762edfb434f96" /><Relationship Type="http://schemas.openxmlformats.org/officeDocument/2006/relationships/hyperlink" Target="https://lovdata.no/lov/2018-06-22-83/&#167;27-1" TargetMode="External" Id="R7374f398eeae430f" /><Relationship Type="http://schemas.openxmlformats.org/officeDocument/2006/relationships/hyperlink" Target="https://lovdata.no/lov/2018-06-22-83/&#167;22-1" TargetMode="External" Id="R3f2fc8dad282440a" /><Relationship Type="http://schemas.openxmlformats.org/officeDocument/2006/relationships/hyperlink" Target="https://lovdata.no/lov/2018-06-22-83/&#167;27-2" TargetMode="External" Id="R88e5adce0ebd4c06" /><Relationship Type="http://schemas.openxmlformats.org/officeDocument/2006/relationships/hyperlink" Target="https://www.regjeringen.no/no/dokumenter/prop.-46-l-20172018/id2593519/?ch=27" TargetMode="External" Id="Rb7f7fa3bfac24bae" /><Relationship Type="http://schemas.openxmlformats.org/officeDocument/2006/relationships/hyperlink" Target="https://lovdata.no/lov/2018-06-22-83/&#167;27-3" TargetMode="External" Id="R12bd1c473d9840a4" /><Relationship Type="http://schemas.openxmlformats.org/officeDocument/2006/relationships/hyperlink" Target="https://lovdata.no/lov/2018-06-22-83/&#167;27-2" TargetMode="External" Id="R28cae5b74edc45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Oppfølging av anmodning om lovlighetskontroll av vedtak i sak PS 09/26 og PS 10/26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