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26/5428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06.05.2026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08/26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Valgutvalg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11.05.2026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