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26/5709</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Morten Ødegaard</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Rapportering investeringsprosjekter Miljø og Byutvikling 04/26</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Rapportering på større investeringsprosjekter, slik det framgår av saken, tas til orientering.</w:t>
              </w:r>
            </w:p>
            <w:p>
              <w:pPr>
                <w:spacing w:after="160"/>
              </w:pPr>
              <w:r>
                <w:t xml:space="preserve">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Det rapporteres på investeringsprosjekter til relevant utvalg ut ifra det tjenesteområde prosjektet sorterer under. De nedenstående prosjektene faller ikke inn under andre fagutvalg, og rapporten går derfor til det utvalget som har Bygg- og eiendomsdrift under sitt ansvarsområde. Siste rapport ble gitt i møte 14.04.2025, OS 03/26.</w:t>
              </w:r>
            </w:p>
          </w:sdtContent>
        </w:sdt>
        <w:sdt>
          <w:sdtPr>
            <w:alias w:val="SaksTekst"/>
            <w:tag w:val="SaksTekst"/>
            <w:id w:val="-1309477531"/>
          </w:sdtPr>
          <w:sdtContent>
            <w:p>
              <w:pPr>
                <w:spacing w:after="160"/>
              </w:pPr>
              <w:r>
                <w:rPr>
                  <w:b/>
                </w:rPr>
                <w:t xml:space="preserve">Saksfremstilling</w:t>
              </w:r>
            </w:p>
            <w:p>
              <w:pPr>
                <w:spacing w:after="160"/>
              </w:pPr>
              <w:r>
                <w:rPr>
                  <w:b/>
                </w:rPr>
                <w:t xml:space="preserve">Rapport enkeltprosjekter:</w:t>
              </w:r>
            </w:p>
            <w:tbl>
              <w:tblPr>
                <w:tblStyle w:val="TableGrid"/>
                <w:tblW w:w="9000" w:type="dxa"/>
                <w:tblBorders>
                  <w:top w:val="none" w:color="000000" w:sz="0"/>
                  <w:left w:val="none" w:color="000000" w:sz="0"/>
                  <w:bottom w:val="none" w:color="000000" w:sz="0"/>
                  <w:right w:val="none" w:color="000000" w:sz="0"/>
                </w:tblBorders>
                <w:tblLayout w:type="fixed"/>
                <w:tblLook w:firstRow="false" w:lastRow="false" w:firstColumn="false" w:lastColumn="false"/>
              </w:tblPr>
              <w:tblGrid>
                <w:gridCol w:w="5130"/>
                <w:gridCol w:w="3870"/>
              </w:tblGrid>
              <w:tr>
                <w:trPr>
                  <w:tblCellSpacing w:w="0" w:type="dxa"/>
                </w:trPr>
                <w:tc>
                  <w:tcPr>
                    <w:tcW w:w="9560" w:type="auto"/>
                    <w:gridSpan w:val="2"/>
                    <w:tcMar>
                      <w:left w:w="108" w:type="dxa"/>
                      <w:right w:w="108" w:type="dxa"/>
                    </w:tcMar>
                    <w:vAlign w:val="center"/>
                  </w:tcPr>
                  <w:p>
                    <w:pPr>
                      <w:spacing w:after="160"/>
                    </w:pPr>
                    <w:r>
                      <w:rPr>
                        <w:b/>
                      </w:rPr>
                      <w:t xml:space="preserve">Ny GS-bru over Porsgrunnselva - Moldhaugbrua</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Omfang: Bygge gang- og sykkelbru fra Storvegen på Vestsiden til Reynoldsparken på Østsiden.</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Prosjektfase: Gjennomføring (bygging)</w:t>
                    </w:r>
                  </w:p>
                </w:tc>
              </w:tr>
              <w:tr>
                <w:trPr>
                  <w:tblCellSpacing w:w="0" w:type="dxa"/>
                </w:trPr>
                <w:tc>
                  <w:tcPr>
                    <w:tcW w:w="46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Budsjett: 205 MNOK (Prisregulert pr. 12/24)</w:t>
                    </w:r>
                  </w:p>
                </w:tc>
                <w:tc>
                  <w:tcPr>
                    <w:tcW w:w="49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Prognose: 205 MNOK</w:t>
                    </w:r>
                  </w:p>
                </w:tc>
              </w:tr>
              <w:tr>
                <w:trPr>
                  <w:tblCellSpacing w:w="0" w:type="dxa"/>
                </w:trPr>
                <w:tc>
                  <w:tcPr>
                    <w:tcW w:w="9560" w:type="auto"/>
                    <w:gridSpan w:val="2"/>
                    <w:tcBorders>
                      <w:top w:val="none" w:color="000000" w:sz="0"/>
                      <w:left w:val="single" w:color="000000" w:sz="4"/>
                      <w:bottom w:val="none" w:color="000000" w:sz="0"/>
                      <w:right w:val="single" w:color="000000" w:sz="4"/>
                    </w:tcBorders>
                    <w:tcMar>
                      <w:left w:w="108" w:type="dxa"/>
                      <w:right w:w="108" w:type="dxa"/>
                    </w:tcMar>
                    <w:vAlign w:val="top"/>
                  </w:tcPr>
                  <w:p>
                    <w:pPr>
                      <w:spacing w:after="160"/>
                    </w:pPr>
                    <w:r>
                      <w:t xml:space="preserve">Framdrift: Bruklaffer er montert. Montering av rekkverk og teknisk utstyr pågår. Ferdigstilling av brua blir forskjøvet til over sommerferien.</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drawing>
                        <wp:inline distT="0" distB="0" distL="0" distR="0">
                          <wp:extent cx="5562600" cy="1333500"/>
                          <wp:effectExtent l="19050" t="0" r="0" b="0"/>
                          <wp:docPr id="4"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445e297f15044a2d"/>
                                  <a:srcRect/>
                                  <a:stretch>
                                    <a:fillRect/>
                                  </a:stretch>
                                </pic:blipFill>
                                <pic:spPr bwMode="auto">
                                  <a:xfrm>
                                    <a:off x="0" y="0"/>
                                    <a:ext cx="5562600" cy="1333500"/>
                                  </a:xfrm>
                                  <a:prstGeom prst="rect">
                                    <a:avLst/>
                                  </a:prstGeom>
                                </pic:spPr>
                              </pic:pic>
                            </a:graphicData>
                          </a:graphic>
                        </wp:inline>
                      </w:drawing>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Økonomi:</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SHA/ HMS: Ingen relevante forhold</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Øvrige kommentarer:</w:t>
                    </w:r>
                  </w:p>
                </w:tc>
              </w:tr>
            </w:tbl>
            <w:p>
              <w:pPr>
                <w:spacing w:after="160"/>
              </w:pPr>
            </w:p>
            <w:tbl>
              <w:tblPr>
                <w:tblStyle w:val="TableGrid"/>
                <w:tblW w:w="9000" w:type="dxa"/>
                <w:tblBorders>
                  <w:top w:val="none" w:color="000000" w:sz="0"/>
                  <w:left w:val="none" w:color="000000" w:sz="0"/>
                  <w:bottom w:val="none" w:color="000000" w:sz="0"/>
                  <w:right w:val="none" w:color="000000" w:sz="0"/>
                </w:tblBorders>
                <w:tblLayout w:type="fixed"/>
                <w:tblLook w:firstRow="false" w:lastRow="false" w:firstColumn="false" w:lastColumn="false"/>
              </w:tblPr>
              <w:tblGrid>
                <w:gridCol w:w="6976.8"/>
                <w:gridCol w:w="2023.2"/>
              </w:tblGrid>
              <w:tr>
                <w:trPr>
                  <w:tblCellSpacing w:w="0" w:type="dxa"/>
                </w:trPr>
                <w:tc>
                  <w:tcPr>
                    <w:tcW w:w="9560" w:type="auto"/>
                    <w:gridSpan w:val="2"/>
                    <w:tcMar>
                      <w:left w:w="108" w:type="dxa"/>
                      <w:right w:w="108" w:type="dxa"/>
                    </w:tcMar>
                    <w:vAlign w:val="center"/>
                  </w:tcPr>
                  <w:p>
                    <w:pPr>
                      <w:spacing w:after="160"/>
                    </w:pPr>
                    <w:r>
                      <w:rPr>
                        <w:b/>
                      </w:rPr>
                      <w:t xml:space="preserve">Østre brygge</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Omfang: Rehabilitere kaifront fra Stangsgate til Reynoldsparken.</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Prosjektfase: Planlegging</w:t>
                    </w:r>
                  </w:p>
                </w:tc>
              </w:tr>
              <w:tr>
                <w:trPr>
                  <w:tblCellSpacing w:w="0" w:type="dxa"/>
                </w:trPr>
                <w:tc>
                  <w:tcPr>
                    <w:tcW w:w="46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Budsjett: 280 MNOK (HP 2026 – 2029)</w:t>
                    </w:r>
                  </w:p>
                </w:tc>
                <w:tc>
                  <w:tcPr>
                    <w:tcW w:w="49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Prognose: 280 MNOK</w:t>
                    </w:r>
                  </w:p>
                </w:tc>
              </w:tr>
              <w:tr>
                <w:trPr>
                  <w:tblCellSpacing w:w="0" w:type="dxa"/>
                </w:trPr>
                <w:tc>
                  <w:tcPr>
                    <w:tcW w:w="9560" w:type="auto"/>
                    <w:gridSpan w:val="2"/>
                    <w:tcBorders>
                      <w:top w:val="none" w:color="000000" w:sz="0"/>
                      <w:left w:val="single" w:color="000000" w:sz="4"/>
                      <w:bottom w:val="none" w:color="000000" w:sz="0"/>
                      <w:right w:val="single" w:color="000000" w:sz="4"/>
                    </w:tcBorders>
                    <w:tcMar>
                      <w:left w:w="108" w:type="dxa"/>
                      <w:right w:w="108" w:type="dxa"/>
                    </w:tcMar>
                    <w:vAlign w:val="top"/>
                  </w:tcPr>
                  <w:p>
                    <w:pPr>
                      <w:spacing w:after="160"/>
                    </w:pPr>
                    <w:r>
                      <w:t xml:space="preserve">Framdrift: Samspillsprosess pågår, og er i henhold til plan. Investeringsbeslutning (B2) antas fremmet mot slutten av året. Reguleringsprosess pågår parallelt med planleggingen. Et endelig reguleringsvedtak forventes å foreligge i løpet 1. kvartal 2027.</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drawing>
                        <wp:inline distT="0" distB="0" distL="0" distR="0">
                          <wp:extent cx="5562600" cy="1333500"/>
                          <wp:effectExtent l="19050" t="0" r="0" b="0"/>
                          <wp:docPr id="5"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103c54dc11584658"/>
                                  <a:srcRect/>
                                  <a:stretch>
                                    <a:fillRect/>
                                  </a:stretch>
                                </pic:blipFill>
                                <pic:spPr bwMode="auto">
                                  <a:xfrm>
                                    <a:off x="0" y="0"/>
                                    <a:ext cx="5562600" cy="1333500"/>
                                  </a:xfrm>
                                  <a:prstGeom prst="rect">
                                    <a:avLst/>
                                  </a:prstGeom>
                                </pic:spPr>
                              </pic:pic>
                            </a:graphicData>
                          </a:graphic>
                        </wp:inline>
                      </w:drawing>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Økonomi: Prognosen gjenspeiler kalkulert investeringsbehov knyttet til gjennomføring av det valgte konseptet. Tiltaket vil kunne få et betydelig økonomisk tilskudd fra Bypakke Grenland.</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SHA/ HMS: Ingen relevante forhold</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Øvrige kommentarer:</w:t>
                    </w:r>
                  </w:p>
                </w:tc>
              </w:tr>
            </w:tbl>
            <w:p>
              <w:pPr>
                <w:spacing w:after="160"/>
              </w:pPr>
            </w:p>
            <w:tbl>
              <w:tblPr>
                <w:tblStyle w:val="TableGrid"/>
                <w:tblW w:w="9000" w:type="dxa"/>
                <w:tblBorders>
                  <w:top w:val="none" w:color="000000" w:sz="0"/>
                  <w:left w:val="none" w:color="000000" w:sz="0"/>
                  <w:bottom w:val="none" w:color="000000" w:sz="0"/>
                  <w:right w:val="none" w:color="000000" w:sz="0"/>
                </w:tblBorders>
                <w:tblLayout w:type="fixed"/>
                <w:tblLook w:firstRow="false" w:lastRow="false" w:firstColumn="false" w:lastColumn="false"/>
              </w:tblPr>
              <w:tblGrid>
                <w:gridCol w:w="6615"/>
                <w:gridCol w:w="2385"/>
              </w:tblGrid>
              <w:tr>
                <w:trPr>
                  <w:tblCellSpacing w:w="0" w:type="dxa"/>
                </w:trPr>
                <w:tc>
                  <w:tcPr>
                    <w:tcW w:w="9560" w:type="auto"/>
                    <w:gridSpan w:val="2"/>
                    <w:tcMar>
                      <w:left w:w="108" w:type="dxa"/>
                      <w:right w:w="108" w:type="dxa"/>
                    </w:tcMar>
                    <w:vAlign w:val="center"/>
                  </w:tcPr>
                  <w:p>
                    <w:pPr>
                      <w:spacing w:after="160"/>
                    </w:pPr>
                    <w:r>
                      <w:rPr>
                        <w:b/>
                      </w:rPr>
                      <w:t xml:space="preserve">Utvikling og arealeffektivisering av kommunale bygg i sentrum</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Omfang: Effektivisere arealer knyttet til kommunale bygg.</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Prosjektfase: Utredning</w:t>
                    </w:r>
                  </w:p>
                </w:tc>
              </w:tr>
              <w:tr>
                <w:trPr>
                  <w:tblCellSpacing w:w="0" w:type="dxa"/>
                </w:trPr>
                <w:tc>
                  <w:tcPr>
                    <w:tcW w:w="46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Budsjett: 171 MNOK (HP 2026 – 2029)</w:t>
                    </w:r>
                  </w:p>
                </w:tc>
                <w:tc>
                  <w:tcPr>
                    <w:tcW w:w="49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Prognose: 171 MNOK</w:t>
                    </w:r>
                  </w:p>
                </w:tc>
              </w:tr>
              <w:tr>
                <w:trPr>
                  <w:tblCellSpacing w:w="0" w:type="dxa"/>
                </w:trPr>
                <w:tc>
                  <w:tcPr>
                    <w:tcW w:w="9560" w:type="auto"/>
                    <w:gridSpan w:val="2"/>
                    <w:tcBorders>
                      <w:top w:val="none" w:color="000000" w:sz="0"/>
                      <w:left w:val="single" w:color="000000" w:sz="4"/>
                      <w:bottom w:val="none" w:color="000000" w:sz="0"/>
                      <w:right w:val="single" w:color="000000" w:sz="4"/>
                    </w:tcBorders>
                    <w:tcMar>
                      <w:left w:w="108" w:type="dxa"/>
                      <w:right w:w="108" w:type="dxa"/>
                    </w:tcMar>
                    <w:vAlign w:val="top"/>
                  </w:tcPr>
                  <w:p>
                    <w:pPr>
                      <w:spacing w:after="160"/>
                    </w:pPr>
                    <w:r>
                      <w:t xml:space="preserve">Framdrift: B0 behandlet av bystyret i sak 55/26. Prosess med kartlegging/ utredning av muligheter for å effektivisere arealer knyttet til kommunale bygg skal igangsettes. Muligheter for tilrettelegging av tilbud til ungdom, eldre, samt lag og foreninger, i sentrum skal ha hovedprioritet. Anskaffelse av ekstern prosessveileder og rådgiver(e) er igangsatt. </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drawing>
                        <wp:inline distT="0" distB="0" distL="0" distR="0">
                          <wp:extent cx="5562600" cy="1381125"/>
                          <wp:effectExtent l="19050" t="0" r="0" b="0"/>
                          <wp:docPr id="6"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e077f3cd30544c50"/>
                                  <a:srcRect/>
                                  <a:stretch>
                                    <a:fillRect/>
                                  </a:stretch>
                                </pic:blipFill>
                                <pic:spPr bwMode="auto">
                                  <a:xfrm>
                                    <a:off x="0" y="0"/>
                                    <a:ext cx="5562600" cy="1381125"/>
                                  </a:xfrm>
                                  <a:prstGeom prst="rect">
                                    <a:avLst/>
                                  </a:prstGeom>
                                </pic:spPr>
                              </pic:pic>
                            </a:graphicData>
                          </a:graphic>
                        </wp:inline>
                      </w:drawing>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Økonomi: Prognosen reflekterer kun avsetningen i HP 2026 - 2029.</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SHA/ HMS: Ingen relevante forhold</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Øvrige kommentarer:</w:t>
                    </w:r>
                  </w:p>
                </w:tc>
              </w:tr>
            </w:tbl>
            <w:p>
              <w:pPr>
                <w:spacing w:after="160"/>
              </w:pPr>
            </w:p>
            <w:tbl>
              <w:tblPr>
                <w:tblStyle w:val="TableGrid"/>
                <w:tblW w:w="9000" w:type="dxa"/>
                <w:tblBorders>
                  <w:top w:val="none" w:color="000000" w:sz="0"/>
                  <w:left w:val="none" w:color="000000" w:sz="0"/>
                  <w:bottom w:val="none" w:color="000000" w:sz="0"/>
                  <w:right w:val="none" w:color="000000" w:sz="0"/>
                </w:tblBorders>
                <w:tblLayout w:type="fixed"/>
                <w:tblLook w:firstRow="false" w:lastRow="false" w:firstColumn="false" w:lastColumn="false"/>
              </w:tblPr>
              <w:tblGrid>
                <w:gridCol w:w="5550.3"/>
                <w:gridCol w:w="3449.7"/>
              </w:tblGrid>
              <w:tr>
                <w:trPr>
                  <w:tblCellSpacing w:w="0" w:type="dxa"/>
                </w:trPr>
                <w:tc>
                  <w:tcPr>
                    <w:tcW w:w="9560" w:type="auto"/>
                    <w:gridSpan w:val="2"/>
                    <w:tcMar>
                      <w:left w:w="108" w:type="dxa"/>
                      <w:right w:w="108" w:type="dxa"/>
                    </w:tcMar>
                    <w:vAlign w:val="center"/>
                  </w:tcPr>
                  <w:p>
                    <w:pPr>
                      <w:spacing w:after="160"/>
                    </w:pPr>
                    <w:r>
                      <w:rPr>
                        <w:b/>
                      </w:rPr>
                      <w:t xml:space="preserve">Utvidelse av fellesvaskeriet</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Omfang: Bygging av nytt sykehjem medfører at kapasiteten til vaskeriet på Frednes må økes.</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Prosjektfase: Utredning</w:t>
                    </w:r>
                  </w:p>
                </w:tc>
              </w:tr>
              <w:tr>
                <w:trPr>
                  <w:tblCellSpacing w:w="0" w:type="dxa"/>
                </w:trPr>
                <w:tc>
                  <w:tcPr>
                    <w:tcW w:w="46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Budsjett: 10 MNOK (HP 2026 – 2029)</w:t>
                    </w:r>
                  </w:p>
                </w:tc>
                <w:tc>
                  <w:tcPr>
                    <w:tcW w:w="49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Prognose: 10 MNOK</w:t>
                    </w:r>
                  </w:p>
                </w:tc>
              </w:tr>
              <w:tr>
                <w:trPr>
                  <w:tblCellSpacing w:w="0" w:type="dxa"/>
                </w:trPr>
                <w:tc>
                  <w:tcPr>
                    <w:tcW w:w="9560" w:type="auto"/>
                    <w:gridSpan w:val="2"/>
                    <w:tcBorders>
                      <w:top w:val="none" w:color="000000" w:sz="0"/>
                      <w:left w:val="single" w:color="000000" w:sz="4"/>
                      <w:bottom w:val="none" w:color="000000" w:sz="0"/>
                      <w:right w:val="single" w:color="000000" w:sz="4"/>
                    </w:tcBorders>
                    <w:tcMar>
                      <w:left w:w="108" w:type="dxa"/>
                      <w:right w:w="108" w:type="dxa"/>
                    </w:tcMar>
                    <w:vAlign w:val="top"/>
                  </w:tcPr>
                  <w:p>
                    <w:pPr>
                      <w:spacing w:after="160"/>
                    </w:pPr>
                    <w:r>
                      <w:t xml:space="preserve">Framdrift: Utredning ferdigstilt. Politisk sak (B1) fremmes i dette møtet.</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drawing>
                        <wp:inline distT="0" distB="0" distL="0" distR="0">
                          <wp:extent cx="5562600" cy="1371600"/>
                          <wp:effectExtent l="19050" t="0" r="0" b="0"/>
                          <wp:docPr id="7" name="Picture 5" descr=""/>
                          <wp:cNvGraphicFramePr>
                            <a:graphicFrameLocks noChangeAspect="1"/>
                          </wp:cNvGraphicFramePr>
                          <a:graphic>
                            <a:graphicData uri="http://schemas.openxmlformats.org/drawingml/2006/picture">
                              <pic:pic>
                                <pic:nvPicPr>
                                  <pic:cNvPr id="5" name="" descr=""/>
                                  <pic:cNvPicPr>
                                    <a:picLocks noChangeAspect="1" noChangeArrowheads="1"/>
                                  </pic:cNvPicPr>
                                </pic:nvPicPr>
                                <pic:blipFill>
                                  <a:blip r:embed="R8342e2a1ff314e77"/>
                                  <a:srcRect/>
                                  <a:stretch>
                                    <a:fillRect/>
                                  </a:stretch>
                                </pic:blipFill>
                                <pic:spPr bwMode="auto">
                                  <a:xfrm>
                                    <a:off x="0" y="0"/>
                                    <a:ext cx="5562600" cy="1371600"/>
                                  </a:xfrm>
                                  <a:prstGeom prst="rect">
                                    <a:avLst/>
                                  </a:prstGeom>
                                </pic:spPr>
                              </pic:pic>
                            </a:graphicData>
                          </a:graphic>
                        </wp:inline>
                      </w:drawing>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Økonomi:</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SHA/ HMS: Ingen relevante forhold</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Øvrige kommentarer:</w:t>
                    </w:r>
                  </w:p>
                </w:tc>
              </w:tr>
            </w:tbl>
            <w:p>
              <w:pPr>
                <w:spacing w:after="160"/>
              </w:pPr>
              <w:r>
                <w:rPr>
                  <w:b/>
                </w:rPr>
                <w:t xml:space="preserve"> </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image" Target="/media/image.jpg" Id="R445e297f15044a2d" /><Relationship Type="http://schemas.openxmlformats.org/officeDocument/2006/relationships/image" Target="/media/image2.jpg" Id="R103c54dc11584658" /><Relationship Type="http://schemas.openxmlformats.org/officeDocument/2006/relationships/image" Target="/media/image3.jpg" Id="Re077f3cd30544c50" /><Relationship Type="http://schemas.openxmlformats.org/officeDocument/2006/relationships/image" Target="/media/image4.jpg" Id="R8342e2a1ff314e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Rapportering investeringsprosjekter Miljø og Byutvikling 04/26</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