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26/5709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Rapportering investeringsprosjekter Miljø og Byutvikling 04/26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Rapportering på større investeringsprosjekter, slik det framgår av saken, tas til orientering.</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Det rapporteres på investeringsprosjekter til relevant utvalg ut ifra det tjenesteområde prosjektet sorterer under. De nedenstående prosjektene faller ikke inn under andre fagutvalg, og rapporten går derfor til det utvalget som har Bygg- og eiendomsdrift under sitt ansvarsområde. Siste rapport ble gitt i møte 14.04.2025, OS 03/26.</w:t>
              </w:r>
            </w:p>
          </w:sdtContent>
        </w:sdt>
        <w:sdt>
          <w:sdtPr>
            <w:alias w:val="SaksTekst"/>
            <w:tag w:val="SaksTekst"/>
            <w:id w:val="-1309477531"/>
          </w:sdtPr>
          <w:sdtContent>
            <w:p>
              <w:pPr>
                <w:spacing w:after="160"/>
              </w:pPr>
              <w:r>
                <w:rPr>
                  <w:b/>
                </w:rPr>
                <w:t xml:space="preserve">Saksfremstilling</w:t>
              </w:r>
            </w:p>
            <w:p>
              <w:pPr>
                <w:spacing w:after="160"/>
              </w:pPr>
              <w:r>
                <w:rPr>
                  <w:b/>
                </w:rPr>
                <w:t xml:space="preserve">Rapport enkeltprosjekter:</w:t>
              </w: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5130"/>
                <w:gridCol w:w="3870"/>
              </w:tblGrid>
              <w:tr>
                <w:trPr>
                  <w:tblCellSpacing w:w="0" w:type="dxa"/>
                </w:trPr>
                <w:tc>
                  <w:tcPr>
                    <w:tcW w:w="9560" w:type="auto"/>
                    <w:gridSpan w:val="2"/>
                    <w:tcMar>
                      <w:left w:w="108" w:type="dxa"/>
                      <w:right w:w="108" w:type="dxa"/>
                    </w:tcMar>
                    <w:vAlign w:val="center"/>
                  </w:tcPr>
                  <w:p>
                    <w:pPr>
                      <w:spacing w:after="160"/>
                    </w:pPr>
                    <w:r>
                      <w:rPr>
                        <w:b/>
                      </w:rPr>
                      <w:t xml:space="preserve">Ny GS-bru over Porsgrunnselva - Moldhaugbrua</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Bygge gang- og sykkelbru fra Storvegen på Vestsiden til Reynoldsparken på Østsiden.</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Gjennomføring (bygging)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205 MNOK (Prisregulert pr. 12/24)</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205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Bruklaffer er montert. Montering av rekkverk og teknisk utstyr pågår. Ferdigstilling av brua blir forskjøvet til over sommerferien.</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62600" cy="133350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445e297f15044a2d"/>
                                  <a:srcRect/>
                                  <a:stretch>
                                    <a:fillRect/>
                                  </a:stretch>
                                </pic:blipFill>
                                <pic:spPr bwMode="auto">
                                  <a:xfrm>
                                    <a:off x="0" y="0"/>
                                    <a:ext cx="5562600" cy="1333500"/>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p>
              <w:pPr>
                <w:spacing w:after="160"/>
              </w:pP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6976.8"/>
                <w:gridCol w:w="2023.2"/>
              </w:tblGrid>
              <w:tr>
                <w:trPr>
                  <w:tblCellSpacing w:w="0" w:type="dxa"/>
                </w:trPr>
                <w:tc>
                  <w:tcPr>
                    <w:tcW w:w="9560" w:type="auto"/>
                    <w:gridSpan w:val="2"/>
                    <w:tcMar>
                      <w:left w:w="108" w:type="dxa"/>
                      <w:right w:w="108" w:type="dxa"/>
                    </w:tcMar>
                    <w:vAlign w:val="center"/>
                  </w:tcPr>
                  <w:p>
                    <w:pPr>
                      <w:spacing w:after="160"/>
                    </w:pPr>
                    <w:r>
                      <w:rPr>
                        <w:b/>
                      </w:rPr>
                      <w:t xml:space="preserve">Østre brygge</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Rehabilitere kaifront fra Stangsgate til Reynoldsparken.</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Planlegging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280 MNOK (HP 2026 – 2029)</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280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Samspillsprosess pågår, og er i henhold til plan. Investeringsbeslutning (B2) antas fremmet mot slutten av året. Reguleringsprosess pågår parallelt med planleggingen. Et endelig reguleringsvedtak forventes å foreligge i løpet 1. kvartal 2027.</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62600" cy="1333500"/>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103c54dc11584658"/>
                                  <a:srcRect/>
                                  <a:stretch>
                                    <a:fillRect/>
                                  </a:stretch>
                                </pic:blipFill>
                                <pic:spPr bwMode="auto">
                                  <a:xfrm>
                                    <a:off x="0" y="0"/>
                                    <a:ext cx="5562600" cy="1333500"/>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 Prognosen gjenspeiler kalkulert investeringsbehov knyttet til gjennomføring av det valgte konseptet. Tiltaket vil kunne få et betydelig økonomisk tilskudd fra Bypakke Grenland.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p>
              <w:pPr>
                <w:spacing w:after="160"/>
              </w:pP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6615"/>
                <w:gridCol w:w="2385"/>
              </w:tblGrid>
              <w:tr>
                <w:trPr>
                  <w:tblCellSpacing w:w="0" w:type="dxa"/>
                </w:trPr>
                <w:tc>
                  <w:tcPr>
                    <w:tcW w:w="9560" w:type="auto"/>
                    <w:gridSpan w:val="2"/>
                    <w:tcMar>
                      <w:left w:w="108" w:type="dxa"/>
                      <w:right w:w="108" w:type="dxa"/>
                    </w:tcMar>
                    <w:vAlign w:val="center"/>
                  </w:tcPr>
                  <w:p>
                    <w:pPr>
                      <w:spacing w:after="160"/>
                    </w:pPr>
                    <w:r>
                      <w:rPr>
                        <w:b/>
                      </w:rPr>
                      <w:t xml:space="preserve">Utvikling og arealeffektivisering av kommunale bygg i sentrum</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Effektivisere arealer knyttet til kommunale bygg.</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Utredning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171 MNOK (HP 2026 – 2029)</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171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B0 behandlet av bystyret i sak 55/26. Prosess med kartlegging/ utredning av muligheter for å effektivisere arealer knyttet til kommunale bygg skal igangsettes. Muligheter for tilrettelegging av tilbud til ungdom, eldre, samt lag og foreninger, i sentrum skal ha hovedprioritet. Anskaffelse av ekstern prosessveileder og rådgiver(e) er igangsatt. </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62600" cy="138112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e077f3cd30544c50"/>
                                  <a:srcRect/>
                                  <a:stretch>
                                    <a:fillRect/>
                                  </a:stretch>
                                </pic:blipFill>
                                <pic:spPr bwMode="auto">
                                  <a:xfrm>
                                    <a:off x="0" y="0"/>
                                    <a:ext cx="5562600" cy="1381125"/>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 Prognosen reflekterer kun avsetningen i HP 2026 - 2029.</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p>
              <w:pPr>
                <w:spacing w:after="160"/>
              </w:pP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5550.3"/>
                <w:gridCol w:w="3449.7"/>
              </w:tblGrid>
              <w:tr>
                <w:trPr>
                  <w:tblCellSpacing w:w="0" w:type="dxa"/>
                </w:trPr>
                <w:tc>
                  <w:tcPr>
                    <w:tcW w:w="9560" w:type="auto"/>
                    <w:gridSpan w:val="2"/>
                    <w:tcMar>
                      <w:left w:w="108" w:type="dxa"/>
                      <w:right w:w="108" w:type="dxa"/>
                    </w:tcMar>
                    <w:vAlign w:val="center"/>
                  </w:tcPr>
                  <w:p>
                    <w:pPr>
                      <w:spacing w:after="160"/>
                    </w:pPr>
                    <w:r>
                      <w:rPr>
                        <w:b/>
                      </w:rPr>
                      <w:t xml:space="preserve">Utvidelse av fellesvaskeriet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Omfang: Bygging av nytt sykehjem medfører at kapasiteten til vaskeriet på Frednes må økes.</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Prosjektfase: Utredning</w:t>
                    </w:r>
                  </w:p>
                </w:tc>
              </w:tr>
              <w:tr>
                <w:trPr>
                  <w:tblCellSpacing w:w="0" w:type="dxa"/>
                </w:trPr>
                <w:tc>
                  <w:tcPr>
                    <w:tcW w:w="46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Budsjett: 10 MNOK (HP 2026 – 2029)</w:t>
                    </w:r>
                  </w:p>
                </w:tc>
                <w:tc>
                  <w:tcPr>
                    <w:tcW w:w="49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Prognose: 10 MNOK</w:t>
                    </w:r>
                  </w:p>
                </w:tc>
              </w:tr>
              <w:tr>
                <w:trPr>
                  <w:tblCellSpacing w:w="0" w:type="dxa"/>
                </w:trPr>
                <w:tc>
                  <w:tcPr>
                    <w:tcW w:w="9560" w:type="auto"/>
                    <w:gridSpan w:val="2"/>
                    <w:tcBorders>
                      <w:top w:val="none" w:color="000000" w:sz="0"/>
                      <w:left w:val="single" w:color="000000" w:sz="4"/>
                      <w:bottom w:val="none" w:color="000000" w:sz="0"/>
                      <w:right w:val="single" w:color="000000" w:sz="4"/>
                    </w:tcBorders>
                    <w:tcMar>
                      <w:left w:w="108" w:type="dxa"/>
                      <w:right w:w="108" w:type="dxa"/>
                    </w:tcMar>
                    <w:vAlign w:val="top"/>
                  </w:tcPr>
                  <w:p>
                    <w:pPr>
                      <w:spacing w:after="160"/>
                    </w:pPr>
                    <w:r>
                      <w:t xml:space="preserve">Framdrift: Utredning ferdigstilt. Politisk sak (B1) fremmes i dette møtet.</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drawing>
                        <wp:inline distT="0" distB="0" distL="0" distR="0">
                          <wp:extent cx="5562600" cy="1371600"/>
                          <wp:effectExtent l="19050" t="0" r="0" b="0"/>
                          <wp:docPr id="7"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8342e2a1ff314e77"/>
                                  <a:srcRect/>
                                  <a:stretch>
                                    <a:fillRect/>
                                  </a:stretch>
                                </pic:blipFill>
                                <pic:spPr bwMode="auto">
                                  <a:xfrm>
                                    <a:off x="0" y="0"/>
                                    <a:ext cx="5562600" cy="1371600"/>
                                  </a:xfrm>
                                  <a:prstGeom prst="rect">
                                    <a:avLst/>
                                  </a:prstGeom>
                                </pic:spPr>
                              </pic:pic>
                            </a:graphicData>
                          </a:graphic>
                        </wp:inline>
                      </w:drawing>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Økonomi:</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SHA/ HMS: Ingen relevante forhold</w:t>
                    </w:r>
                  </w:p>
                </w:tc>
              </w:tr>
              <w:tr>
                <w:trPr>
                  <w:tblCellSpacing w:w="0" w:type="dxa"/>
                </w:trPr>
                <w:tc>
                  <w:tcPr>
                    <w:tcW w:w="9560" w:type="auto"/>
                    <w:gridSpan w:val="2"/>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Øvrige kommentarer:</w:t>
                    </w:r>
                  </w:p>
                </w:tc>
              </w:tr>
            </w:tbl>
            <w:p>
              <w:pPr>
                <w:spacing w:after="160"/>
              </w:pPr>
              <w:r>
                <w:rPr>
                  <w:b/>
                </w:rP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445e297f15044a2d" /><Relationship Type="http://schemas.openxmlformats.org/officeDocument/2006/relationships/image" Target="/media/image2.jpg" Id="R103c54dc11584658" /><Relationship Type="http://schemas.openxmlformats.org/officeDocument/2006/relationships/image" Target="/media/image3.jpg" Id="Re077f3cd30544c50" /><Relationship Type="http://schemas.openxmlformats.org/officeDocument/2006/relationships/image" Target="/media/image4.jpg" Id="R8342e2a1ff314e7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Rapportering investeringsprosjekter Miljø og Byutvikling 04/26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