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26/5134</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Melissa Frisvold Egeland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29.04.2026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Hovedplan vann og avløp 2026-2038</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Kommunedirektøren anbefaler at Hovedplan vann og avløp 2026–2038 vedtas.</w:t>
              </w:r>
              <w:r>
                <w:br/>
              </w:r>
              <w:r>
                <w:br/>
              </w:r>
              <w:r>
                <w:t xml:space="preserve">Planens mål, prioriteringer og strategiske retning legges til grunn for videre arbeid med kommunens handlingsprogram og økonomiplan i planperioden.</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Gjeldende hovedplan for vann og avløp gjelder fram til 2033 og skal i tråd med kommunens planpraksis revideres hvert fjerde år. I denne planrunden er det gjennomført en full revisjon av hovedplanen, der vann- og avløpstjenestene er samlet i én felles, helhetlig plan.</w:t>
              </w:r>
              <w:r>
                <w:br/>
              </w:r>
              <w:r>
                <w:br/>
              </w:r>
              <w:r>
                <w:t xml:space="preserve">Bakgrunnen for en full revisjon er økende utfordringer knyttet til aldrende infrastruktur, strengere miljø- og utslippskrav og klimaendringer med mer og kraftigere nedbør. Disse utviklingstrekkene stiller større krav til helhetlig styring, prioritering og langsiktig planlegging innen vann- og avløpsområdet.</w:t>
              </w:r>
              <w:r>
                <w:br/>
              </w:r>
              <w:r>
                <w:br/>
              </w:r>
              <w:r>
                <w:t xml:space="preserve">Hovedplan vann og avløp 2026–2038 er utarbeidet som et strategisk styringsdokument som skal gi retning for videre utvikling, drift og forvaltning av kommunens vann-, avløps- og overvannstjenester. Planen er forankret i kommuneplanens samfunnsdel og gir føringer for prioriteringer gjennom handlingsprogram og økonomiplan.</w:t>
              </w:r>
            </w:p>
          </w:sdtContent>
        </w:sdt>
        <w:sdt>
          <w:sdtPr>
            <w:alias w:val="SaksTekst"/>
            <w:tag w:val="SaksTekst"/>
            <w:id w:val="-1309477531"/>
          </w:sdtPr>
          <w:sdtContent>
            <w:p>
              <w:pPr>
                <w:spacing w:after="160"/>
              </w:pPr>
              <w:r>
                <w:rPr>
                  <w:b/>
                </w:rPr>
                <w:t xml:space="preserve">Saksfremstilling</w:t>
              </w:r>
            </w:p>
            <w:p>
              <w:pPr>
                <w:spacing w:after="160"/>
              </w:pPr>
              <w:r>
                <w:t xml:space="preserve">Hovedplan vann og avløp 2026–2038 gir en samlet framstilling av status, utfordringer og utviklingsbehov for vann-, avløps- og overvannstjenestene. Planen legger til grunn en mer strategisk og forebyggende tilnærming, der tiltak prioriteres ut fra risiko, konsekvens og forventet effekt.</w:t>
              </w:r>
            </w:p>
            <w:p>
              <w:pPr>
                <w:spacing w:after="160"/>
              </w:pPr>
              <w:r>
                <w:t xml:space="preserve">I forrige planperiode har Porsgrunn kommune oppnådd tydelige resultater gjennom arbeid med lekkasjesøking, reduksjon av fremmedvann og tekniske oppgraderinger i vann- og avløpssystemene. Fremmedvannet er redusert med om lag 50 % siden 2009. Lekkasjetapet i vannforsyningen er redusert fra 45 % i 2015 til 22 % i 2025, og målet om 25 % innen 2024 ble nådd i 2023. Dette viser at systematisk arbeid gir gode resultater og gir et godt grunnlag for videre prioriteringer i ny hovedplan.</w:t>
              </w:r>
            </w:p>
            <w:p>
              <w:pPr>
                <w:spacing w:after="160"/>
              </w:pPr>
              <w:r>
                <w:t xml:space="preserve">I planperioden vil innsatsen særlig rettes mot videre reduksjon av fremmedvann og overløpsutslipp, fornyelse av ledningsnettet der behovet er størst, styrket håndtering av overvann og klimatilpasning, samt økt forsyningssikkerhet og beredskap. Samtidig skal bruken av data og analyser videreutvikles for å sikre mer målrettet og effektiv gjennomføring av tiltak.</w:t>
              </w:r>
            </w:p>
            <w:p>
              <w:pPr>
                <w:spacing w:after="160"/>
              </w:pPr>
              <w:r>
                <w:rPr>
                  <w:b/>
                </w:rPr>
                <w:t xml:space="preserve">Økonomi</w:t>
              </w:r>
            </w:p>
            <w:p>
              <w:pPr>
                <w:spacing w:after="160"/>
              </w:pPr>
              <w:r>
                <w:t xml:space="preserve">Hovedplanen er et strategisk styringsdokument og medfører ikke i seg selv økonomiske vedtak. Økonomiske konsekvenser av planens mål og prioriteringer vil bli vurdert og behandlet gjennom kommunens ordinære prosesser for handlingsprogram og økonomiplan.</w:t>
              </w:r>
            </w:p>
            <w:p>
              <w:pPr>
                <w:spacing w:after="160"/>
              </w:pPr>
              <w:r>
                <w:t xml:space="preserve">Gjennomføring av tiltakene vil innebære økt investeringsnivå, særlig innen fornyelse av ledningsnettet og tiltak i avløpssystemet. Dette vil gi økte kostnader til renter og avdrag som dekkes over driftsbudsjettet, og vil påvirke gebyrnivået i planperioden.</w:t>
              </w:r>
            </w:p>
            <w:p>
              <w:pPr>
                <w:spacing w:after="160"/>
              </w:pPr>
              <w:r>
                <w:t xml:space="preserve">Samtidig vil økt aktivitet knyttet til drift, oppfølging og gjennomføring av tiltak stille større krav til ressurser og kapasitet i tjenesten. Manglende oppfølging av nødvendige tiltak vil over tid kunne medføre økt risiko for driftsavvik og høyere, mindre forutsigbare kostnader.</w:t>
              </w:r>
            </w:p>
            <w:p>
              <w:pPr>
                <w:spacing w:after="160"/>
              </w:pPr>
              <w:r>
                <w:rPr>
                  <w:b/>
                </w:rPr>
                <w:t xml:space="preserve">Kommunedirektørens vurdering</w:t>
              </w:r>
            </w:p>
            <w:p>
              <w:pPr>
                <w:spacing w:after="160"/>
              </w:pPr>
              <w:r>
                <w:t xml:space="preserve">Kommunedirektøren vurderer at hovedplanen gir et godt og helhetlig grunnlag for videre utvikling av kommunens vann- og avløpstjenester. Planen er realistisk i ambisjonsnivå, tydelig på prioriteringer og godt forankret i kommuneplanens samfunnsdel. Det vurderes som nødvendig å følge planens prioriteringer for å sikre trygge og robuste tjenester på lang sikt.</w:t>
              </w:r>
            </w:p>
            <w:p>
              <w:pPr>
                <w:spacing w:after="160"/>
              </w:pPr>
              <w:r>
                <w:rPr>
                  <w:b/>
                </w:rPr>
                <w:t xml:space="preserve">Effekten av saken </w:t>
              </w:r>
              <w:r>
                <w:br/>
              </w:r>
              <w:r>
                <w:t xml:space="preserve">Økonomiske konsekvenser vurderes som nøytrale, da økte investeringer på kort sikt vil gi høyere gebyrer, men samtidig bidra til lavere driftskostnader over tid gjennom færre uforutsette utgifter.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Hovedplan vann og avløp 2026-2038</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Kortversjon Hovedplan 2026-2038</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Hovedplan vann og avløp 2026-2038</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