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24/2499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24</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Marius B. Lid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18.04.2026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PlanID 2001 Reguleringsplan for Farmannvegen - klage på vedtak</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Klagen inneholder ingen nye momenter som gir grunn til å endre Bystyrets vedtak den 05.02.26 i sak 8/26 om reguleringsplan 2001 for Farmannvegen, og tas ikke til følge. I henhold til plan- og bygningsloven § 12-12, jf. plan- og bygningsloven § 1-9, sendes saken til Statsforvalteren i Vestfold og Telemark for endelig avgjørelse.</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Bakgrunn for saken</w:t>
              </w:r>
            </w:p>
            <w:p>
              <w:pPr>
                <w:spacing w:after="160"/>
              </w:pPr>
              <w:r>
                <w:t xml:space="preserve">Bystyret vedtok den 5. februar 2026, i sak 8/26, reguleringsplan for Farmannvegen. Hensikten med reguleringsplanen er å legge til rette for inntil 7 nye boenheter i form av konsentrert småhusbebyggelse på deler av eiendommen med gbnr. 200/2847, samt etablere ny parkeringsløsning for Hasselstien borettslag. Eksisterende rekkehus, gbnr. 200/995, reguleres i tråd med dagens bruk. Planen skal sikre god bokvalitet, tilpasning til eksisterende bebyggelse og ivaretakelse av naturverdier. Planforslaget var på høring og offentlig ettersyn fra 7. mars til 25. april 2025. Det ble mottatt totalt 10 innspill fra både offentlige instanser, naboer og andre berørte. Hovedtemaer i innspillene var utforming av bebyggelse, bokvalitet, adkomst, lekeplass, grøntareal og naturverdier m.m. Naturtypelokalitet av nasjonal interesse er ivaretatt gjennom hensynssone med tilhørende bestemmelser. Planforslaget er i tråd med kommuneplanens arealformål og føringer for fortetting.</w:t>
              </w:r>
            </w:p>
            <w:p>
              <w:pPr>
                <w:spacing w:after="160"/>
              </w:pPr>
              <w:r>
                <w:t xml:space="preserve">Etter kunngjøring av planvedtaket er det kommet inn en (1) klage fra Kristine Tveit og Johan Dalene, som er naboer til planområdet. Klagen er mottatt innenfor frist den 16.03.26. Klagen retter seg mot to forhold til planbestemmelsene; innsyn og støy som følge av balkonger/verandaer i 2. etasje innenfor BK1 og BK2, og vedtatt løsning for lekeplass innenfor f_LEK1 med forbindelse (o_BG1) ut i Gjøavegen.</w:t>
              </w:r>
            </w:p>
            <w:p>
              <w:pPr>
                <w:spacing w:after="160"/>
              </w:pPr>
              <w:r>
                <w:t xml:space="preserve">Klagen inneholder ikke nye opplysninger til saken som ikke har vært vurdert i planprosessen eller kjent da reguleringsendringen ble vedtatt. Kommunedirektøren innstiller derfor på at klagen ikke tas til følge.</w:t>
              </w:r>
            </w:p>
            <w:p>
              <w:pPr>
                <w:spacing w:after="160"/>
              </w:pPr>
              <w:r>
                <w:t xml:space="preserve"> </w:t>
              </w:r>
            </w:p>
            <w:p>
              <w:pPr>
                <w:spacing w:after="160"/>
              </w:pPr>
              <w:r>
                <w:rPr>
                  <w:b/>
                </w:rPr>
                <w:t xml:space="preserve">Klage fra Kristine Tveit og Johan Dalene i Gjøavegen 10, datert 13.03.26</w:t>
              </w:r>
            </w:p>
            <w:p>
              <w:pPr>
                <w:spacing w:after="160"/>
              </w:pPr>
              <w:r>
                <w:t xml:space="preserve">Klagen gjelder vedtatt detaljregulering for Farmannvegen, og retter seg mot to forhold i planbestemmelsene.</w:t>
              </w:r>
            </w:p>
            <w:p>
              <w:pPr>
                <w:spacing w:after="160"/>
              </w:pPr>
              <w:r>
                <w:t xml:space="preserve">For det første klages det på at bestemmelse om forbud mot etablering av balkonger/verandaer i 2. etasje i byggeområdene BK1 og BK2 ikke er videreført i vedtatt plan. Klagerne viser til at slik bestemmelse var foreslått av Kommunedirektøren etter høring som et tiltak for å redusere uønsket innsyn. De anfører at fjerningen av bestemmelsen er begrunnet med en feilaktig fremstilling av faktiske forhold, og at deres bolig ligger direkte foran BK1 med kort avstand. Klagerne mener at balkonger i 2. etasje vil medføre betydelig og belastende innsyn til privat bolig og utearealer, samt økt støypåvirkning. Det bes om at bestemmelsen tas inn igjen i planbestemmelsene.</w:t>
              </w:r>
            </w:p>
            <w:p>
              <w:pPr>
                <w:spacing w:after="160"/>
              </w:pPr>
              <w:r>
                <w:t xml:space="preserve">For det andre klages det på vedtatt løsning for lekeplass innenfor f_LEK1 med snarvei (o_BG1) ut i Gjøavegen. Klagerne viser til eksisterende utfordringer med høy fart og dårlig sikt i Gjøavegen, og mener snarveien vil innebære en trafikksikkerhetsrisiko, særlig for barn. De peker på at lekeplassen allerede har adkomst via f_KV3, og at snarveien derfor ikke anses nødvendig. Dersom snarveien opprettholdes, bes det om etablering av fartsdempende tiltak i Gjøavegen.</w:t>
              </w:r>
            </w:p>
            <w:p>
              <w:pPr>
                <w:spacing w:after="160"/>
              </w:pPr>
              <w:r>
                <w:t xml:space="preserve"> </w:t>
              </w:r>
            </w:p>
            <w:p>
              <w:pPr>
                <w:spacing w:after="160"/>
              </w:pPr>
              <w:r>
                <w:rPr>
                  <w:b/>
                </w:rPr>
                <w:t xml:space="preserve">Kommunedirektørens vurdering</w:t>
              </w:r>
            </w:p>
            <w:p>
              <w:pPr>
                <w:spacing w:after="160"/>
              </w:pPr>
              <w:r>
                <w:t xml:space="preserve">Klagen gjelder vedtatt detaljregulering for Farmannvegen (planID 2001) og omfatter to tema: (1) at forbud mot veranda/balkong i 2. etasje i BK1 og BK2 ikke ble videreført i vedtatte planbestemmelser, og (2) etablering av lekeplass med gangforbindelse/snarvei ut mot Gjøavegen.</w:t>
              </w:r>
            </w:p>
            <w:p>
              <w:pPr>
                <w:spacing w:after="160"/>
              </w:pPr>
              <w:r>
                <w:rPr>
                  <w:u w:val="single"/>
                </w:rPr>
                <w:t xml:space="preserve">1) Balkonger i 2. etasje (BK1 og BK2)</w:t>
              </w:r>
              <w:r>
                <w:br/>
              </w:r>
              <w:r>
                <w:t xml:space="preserve">Klagers anførsler om innsyn og støy knyttet til balkonger/verandaer i 2. etasje er tema som (av dem) ble reist i merknadsrunden og vurdert i forbindelse med høring og offentlig ettersyn. I den administrative oppsummeringen av merknader ble det foreslått en bestemmelse om at det ikke skulle tillates veranda/balkong i 2. etasje i BK1 og BK2, som et avbøtende tiltak for bokvalitet/hensyn til naboer. Ved sluttbehandlingen vedtok imidlertid Bystyret innstillingen fra Utvalg for miljø og byutvikling, herunder at «</w:t>
              </w:r>
              <w:r>
                <w:rPr>
                  <w:i/>
                </w:rPr>
                <w:t xml:space="preserve">under punkt 3.1.2 … tas punkt E ut i sin helhet</w:t>
              </w:r>
              <w:r>
                <w:t xml:space="preserve">». Bystyrets vedtak var enstemmig, og det ble ikke fremsatt ytterligere forslag under behandlingen. </w:t>
              </w:r>
            </w:p>
            <w:p>
              <w:pPr>
                <w:spacing w:after="160"/>
              </w:pPr>
              <w:r>
                <w:t xml:space="preserve">Kommunedirektøren legger etter dette til grunn at spørsmålet om balkonger/verandaer i 2. etasje har vært gjenstand for vurdering og politisk avveining i den ordinære planprosessen, og at klagen i realiteten retter seg mot et bevisst politisk valg i sluttbehandlingen. Etter Kommunedirektørens vurdering tilfører ikke klagen nye opplysninger som gir grunnlag for å endre planvedtaket, og det anbefales derfor at klagen på dette punktet ikke tas til følge. </w:t>
              </w:r>
            </w:p>
            <w:p>
              <w:pPr>
                <w:spacing w:after="160"/>
              </w:pPr>
              <w:r>
                <w:rPr>
                  <w:u w:val="single"/>
                </w:rPr>
                <w:t xml:space="preserve">2) Lekeplass og gangforbindelse/snarvei til Gjøavegen</w:t>
              </w:r>
              <w:r>
                <w:br/>
              </w:r>
              <w:r>
                <w:t xml:space="preserve">Det er i vedtatte planbestemmelser fastsatt krav om opparbeidelse av småbarnslekeplass innenfor f_LEK1. Videre er o_BG1 regulert til å fungere som gangforbindelse mellom f_LEK1 og Gjøavegen. Klagers trafikk- og sikkerhetsbekymringer knyttet til økt trafikk og uoversiktlige situasjoner i Gjøavegen er tema som ble behandlet i høringen, herunder gjennom Kommunedirektørens vurderinger av adkomst- og trafikksituasjonen. Kommunedirektøren viser til at planens gangforbindelse er regulert som del av grønnstruktur (o_BG1), og at planbestemmelsene samtidig har tiltak for å ivareta trygg ferdsel og begrense uønsket motorisert ferdsel internt i planområdet (med pullert/bom i overgangen mellom f_KV3 og f_PP3). Klagers ønske om fartsdempende tiltak i Gjøavegen (for eksempel fartsdumper) gjelder i hovedsak tiltak på offentlig veg, og håndteres normalt som egne trafikksikkerhetstiltak utenfor reguleringsplanens rammer.  </w:t>
              </w:r>
            </w:p>
            <w:p>
              <w:pPr>
                <w:spacing w:after="160"/>
              </w:pPr>
              <w:r>
                <w:t xml:space="preserve">På denne bakgrunn vurderer Kommunedirektøren at klagepunktet gjelder forhold som er vurdert i planprosessen, og at klagen ikke gir nye momenter som tilsier endring av vedtatt løsning for lekeplass/gangforbindelse. Kommunedirektøren anbefaler derfor at klagen på dette punktet ikke tas til følge. </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828.5"/>
                <w:gridCol w:w="1037.7"/>
                <w:gridCol w:w="992.7"/>
                <w:gridCol w:w="1037.7"/>
                <w:gridCol w:w="1103.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t xml:space="preserve"> </w:t>
              </w:r>
            </w:p>
            <w:p>
              <w:pPr>
                <w:spacing w:after="160"/>
              </w:pPr>
              <w:r>
                <w:rPr>
                  <w:b/>
                </w:rPr>
                <w:t xml:space="preserve">Samlet konklusjon</w:t>
              </w:r>
              <w:r>
                <w:br/>
              </w:r>
              <w:r>
                <w:t xml:space="preserve">Kommunedirektøren finner etter en samlet vurdering at klagens anførsler gjelder forhold som er behandlet og vurdert i planprosessen, og at det ikke foreligger nye opplysninger som gir grunnlag for å endre det vedtatte planvedtaket. Kommunedirektøren innstiller derfor på at klagen ikke tas til følge, og at saken oversendes klageinstansen for endelig avgjørelse, jf. plan- og bygningsloven § 12-12.</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PlanID 2001 Reguleringsplan for Farmannvegen - klage på vedtak</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