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26/3241</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3</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Ciydem Ocak</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23.04.2026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Klagebehandling - Gbnr. 46/344, Vipevegen 5 - Etablering av to boenheter</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42/26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miljø og byutvikling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spacing w:after="160"/>
              </w:pPr>
              <w:r>
                <w:t xml:space="preserve">1.        Klagen tas ikke til følge. Vedtak av 23.02.26 i sak 134/26 opprettholdes.</w:t>
              </w:r>
            </w:p>
            <w:p>
              <w:pPr>
                <w:spacing w:after="160"/>
              </w:pPr>
              <w:r>
                <w:t xml:space="preserve">2.        Saken oversendes til Statsforvalteren i Vestfold og Telemark for endelig avgjørelse.</w:t>
              </w:r>
            </w:p>
            <w:p>
              <w:pPr>
                <w:spacing w:after="160"/>
              </w:pPr>
              <w:r>
                <w:t xml:space="preserve"> </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Kort om saken</w:t>
              </w:r>
            </w:p>
            <w:p>
              <w:pPr>
                <w:spacing w:after="160"/>
              </w:pPr>
              <w:r>
                <w:t xml:space="preserve">Saken gjelder avslag på søknad om dispensasjon for etablering av to boenheter i første etasje i eksisterende bygg, på område regulert til kombinert formål forretning/kontor/industri.</w:t>
              </w:r>
            </w:p>
            <w:p>
              <w:pPr>
                <w:spacing w:after="160"/>
              </w:pPr>
              <w:r>
                <w:t xml:space="preserve">Vedtaket om avslag på dispensasjon er påklaget. Klager redegjør for at fordelene ved å tillate boligbruk vurderes som klart større enn ulempene. I tillegg er det redegjort for at tiltaket gjelder en begrenset bruksendring i et eksisterende bygg uten volumøkning eller strukturelle endringer. I klagen vises det til at eiendommen ligger i et område som i praksis fremstår som et boligområde, hvor næringsstruktur i liten grad er til stede.</w:t>
              </w:r>
            </w:p>
            <w:p>
              <w:pPr>
                <w:spacing w:after="160"/>
              </w:pPr>
              <w:r>
                <w:t xml:space="preserve">Kommunen vurderer at vilkårene for å gi dispensasjon ikke er oppfylt, idet arealformålet vil bli vesentlig tilsidesatt. Selv om gjeldende reguleringsplan er fra 2003, er det denne som er rettslig bindende og førende for hvilken arealbruk som tillates innenfor området. Det må videre legges vekt på at kommuneplanens arealdel også avsetter området til næringsformål. Dette indikerer at det ikke foreligger overordnede planforutsetninger om omdisponering til boligformål.</w:t>
              </w:r>
            </w:p>
            <w:p>
              <w:pPr>
                <w:spacing w:after="160"/>
              </w:pPr>
              <w:r>
                <w:t xml:space="preserve">Kommunedirektøren kan ikke se at det fremkommer opplysninger i klagen som tilsier et annet resultat. Det innstilles på at vedtaket opprettholdes.</w:t>
              </w:r>
            </w:p>
          </w:sdtContent>
        </w:sdt>
        <w:sdt>
          <w:sdtPr>
            <w:alias w:val="SaksTekst"/>
            <w:tag w:val="SaksTekst"/>
            <w:id w:val="-1309477531"/>
          </w:sdtPr>
          <w:sdtContent>
            <w:p>
              <w:pPr>
                <w:spacing w:after="160"/>
              </w:pPr>
              <w:r>
                <w:rPr>
                  <w:b/>
                </w:rPr>
                <w:t xml:space="preserve">Planstatus</w:t>
              </w:r>
            </w:p>
            <w:p>
              <w:pPr>
                <w:spacing w:after="160"/>
              </w:pPr>
              <w:r>
                <w:t xml:space="preserve">Området er i reguleringsplan for Myrene næringsområde av 18.06.2003 regulert til kombinert formål forretning/kontor/industri (område FKI7). I kommuneplanens arealdel er området avsatt til næringsvirksomhet med hensynssone flomfare, samt rød og gul støysone.</w:t>
              </w:r>
            </w:p>
            <w:p>
              <w:pPr>
                <w:spacing w:after="160"/>
              </w:pPr>
              <w:r>
                <w:drawing>
                  <wp:inline distT="0" distB="0" distL="0" distR="0">
                    <wp:extent cx="4829175" cy="1781175"/>
                    <wp:effectExtent l="19050" t="0" r="0" b="0"/>
                    <wp:docPr id="4" name="Picture 2" descr=""/>
                    <wp:cNvGraphicFramePr>
                      <a:graphicFrameLocks noChangeAspect="1"/>
                    </wp:cNvGraphicFramePr>
                    <a:graphic>
                      <a:graphicData uri="http://schemas.openxmlformats.org/drawingml/2006/picture">
                        <pic:pic>
                          <pic:nvPicPr>
                            <pic:cNvPr id="2" name="" descr=""/>
                            <pic:cNvPicPr>
                              <a:picLocks noChangeAspect="1" noChangeArrowheads="1"/>
                            </pic:cNvPicPr>
                          </pic:nvPicPr>
                          <pic:blipFill>
                            <a:blip r:embed="R4a14b9cc92d94d4b"/>
                            <a:srcRect/>
                            <a:stretch>
                              <a:fillRect/>
                            </a:stretch>
                          </pic:blipFill>
                          <pic:spPr bwMode="auto">
                            <a:xfrm>
                              <a:off x="0" y="0"/>
                              <a:ext cx="4829175" cy="1781175"/>
                            </a:xfrm>
                            <a:prstGeom prst="rect">
                              <a:avLst/>
                            </a:prstGeom>
                          </pic:spPr>
                        </pic:pic>
                      </a:graphicData>
                    </a:graphic>
                  </wp:inline>
                </w:drawing>
              </w:r>
            </w:p>
            <w:p>
              <w:pPr>
                <w:spacing w:after="160"/>
              </w:pPr>
              <w:r>
                <w:t xml:space="preserve">Rettsvirkningene av reguleringsplanen fremgår av plan- og bygningsloven (pbl.) § 12-4. Ifølge annet ledd må ikke tiltak være i strid med planens arealformål eller bestemmelser.</w:t>
              </w:r>
            </w:p>
            <w:p>
              <w:pPr>
                <w:spacing w:after="160"/>
              </w:pPr>
              <w:r>
                <w:rPr>
                  <w:b/>
                </w:rPr>
                <w:t xml:space="preserve">Saksfremstilling</w:t>
              </w:r>
            </w:p>
            <w:p>
              <w:pPr>
                <w:spacing w:after="160"/>
              </w:pPr>
              <w:r>
                <w:t xml:space="preserve">Ansvarlig søker Hjort Arkitekter AS søkte, på vegne av tiltakshaver Tomas Vestnes, den 28.01.26 om dispensasjon for etablering av to boenheter i første etasje. I tillegg er det søkt om mindre fasadeendring og dispensasjon fra kommuneplanens bestemmelse pkt. 1.6.3 støy.</w:t>
              </w:r>
            </w:p>
            <w:p>
              <w:pPr>
                <w:spacing w:after="160"/>
              </w:pPr>
              <w:r>
                <w:t xml:space="preserve">Bygningen ligger på Vallermyrene mellom fylkesvegen og Vipevegen i et område som fremstår som et boligområde i en rekke med 8 boliger. Eiendommen er matrikkelført som næring med bolig i andre etasje i bygningen. De andre bygninger er matrikkelført som boliger.</w:t>
              </w:r>
            </w:p>
            <w:p>
              <w:pPr>
                <w:spacing w:after="160"/>
              </w:pPr>
              <w:r>
                <w:t xml:space="preserve">Området er imidlertid regulert som næringsområde forretning/kontor/industri, og krever derfor dispensasjon hvis det skal etableres nye boenheter.</w:t>
              </w:r>
            </w:p>
            <w:p>
              <w:pPr>
                <w:spacing w:after="160"/>
              </w:pPr>
              <w:r>
                <w:drawing>
                  <wp:inline distT="0" distB="0" distL="0" distR="0">
                    <wp:extent cx="4286250" cy="3409950"/>
                    <wp:effectExtent l="19050" t="0" r="0" b="0"/>
                    <wp:docPr id="5" name="Picture 3" descr=""/>
                    <wp:cNvGraphicFramePr>
                      <a:graphicFrameLocks noChangeAspect="1"/>
                    </wp:cNvGraphicFramePr>
                    <a:graphic>
                      <a:graphicData uri="http://schemas.openxmlformats.org/drawingml/2006/picture">
                        <pic:pic>
                          <pic:nvPicPr>
                            <pic:cNvPr id="3" name="" descr=""/>
                            <pic:cNvPicPr>
                              <a:picLocks noChangeAspect="1" noChangeArrowheads="1"/>
                            </pic:cNvPicPr>
                          </pic:nvPicPr>
                          <pic:blipFill>
                            <a:blip r:embed="R54029e09bdb6427c"/>
                            <a:srcRect/>
                            <a:stretch>
                              <a:fillRect/>
                            </a:stretch>
                          </pic:blipFill>
                          <pic:spPr bwMode="auto">
                            <a:xfrm>
                              <a:off x="0" y="0"/>
                              <a:ext cx="4286250" cy="3409950"/>
                            </a:xfrm>
                            <a:prstGeom prst="rect">
                              <a:avLst/>
                            </a:prstGeom>
                          </pic:spPr>
                        </pic:pic>
                      </a:graphicData>
                    </a:graphic>
                  </wp:inline>
                </w:drawing>
              </w:r>
            </w:p>
            <w:p>
              <w:pPr>
                <w:spacing w:after="160"/>
              </w:pPr>
              <w:r>
                <w:t xml:space="preserve">Det fremgår av søknaden at denne gjelder primært godkjenning av allerede utført arbeid innenfor eksisterende bygningskropp. Videre vises det til at det ikke søkes om nye tiltak eller endringer ut over allerede utført tiltak, samt at hovedformålet er å få behandlet de nødvendige unntakene og dispensasjonene slik at tomten kan godkjennes som bolig.</w:t>
              </w:r>
            </w:p>
            <w:p>
              <w:pPr>
                <w:spacing w:after="160"/>
              </w:pPr>
              <w:r>
                <w:t xml:space="preserve">Dispensasjonssøknaden er nabovarslet etter pbl. § 21-3, jf. pbl. § 19-1 annet punktum. Det foreligger ingen merknader i saken.</w:t>
              </w:r>
            </w:p>
            <w:p>
              <w:pPr>
                <w:spacing w:after="160"/>
              </w:pPr>
              <w:r>
                <w:t xml:space="preserve">Det ble gitt avslag i vedtak av 23.02.26 i sak 134/26 på søknad om dispensasjon fra arealformålet i reguleringsplanen med følgende begrunnelse:</w:t>
              </w:r>
            </w:p>
            <w:p>
              <w:pPr>
                <w:spacing w:after="160"/>
              </w:pPr>
              <w:r>
                <w:rPr>
                  <w:i/>
                </w:rPr>
                <w:t xml:space="preserve">«Hensikten med formål er å styre en effektiv arealutnyttelse og en utvikling i tråd med overordnede planer for områdeutvikling. Formålene forretning, kontor og industri har til hensikt å sikre arealer til næringsvirksomhet og verdiskaping. De skal legge til rette for arbeidsplasser, tjenesteyting og produksjonsvirksomhet, samt bidra til en hensiktsmessig funksjonsdeling i arealplanleggingen.</w:t>
              </w:r>
            </w:p>
            <w:p>
              <w:pPr>
                <w:spacing w:after="160"/>
              </w:pPr>
              <w:r>
                <w:rPr>
                  <w:i/>
                </w:rPr>
                <w:t xml:space="preserve">Selv om gjeldende reguleringsplan er av eldre dato, er det denne som er rettslig bindende og førende for hvilken arealbruk som tillates innenfor området. Det må videre legges vekt på at kommuneplanens arealdel også avsetter området til næringsformål. Dette indikerer at det ikke foreligger overordnede planforutsetninger om omdisponering til boligformål.</w:t>
              </w:r>
            </w:p>
            <w:p>
              <w:pPr>
                <w:spacing w:after="160"/>
              </w:pPr>
              <w:r>
                <w:rPr>
                  <w:i/>
                </w:rPr>
                <w:t xml:space="preserve">Et tiltak som medfører økt boligbruk innenfor et regulert næringsområde vil etter kommunens vurdering kunne tilsidesette hensynet til fremtidig utvikling av området som næringsområde. En økning i bruken av området til boligformål vil kunne bidra til å endre områdets karakter i retning av boligbebyggelse og medføre en gradvis forskyvning av arealbruken bort fra det fastsatte næringsformålet.</w:t>
              </w:r>
            </w:p>
            <w:p>
              <w:pPr>
                <w:spacing w:after="160"/>
              </w:pPr>
              <w:r>
                <w:rPr>
                  <w:i/>
                </w:rPr>
                <w:t xml:space="preserve">Videre vil en økning av boligandelen kunne legge begrensninger på hvordan næringsområdet kan utvikles i fremtiden, ettersom det må tas økt hensyn til støy, trafikk og andre miljøbelastninger overfor flere boliger. Dette kan svekke områdets egnethet for næringsvirksomhet.</w:t>
              </w:r>
            </w:p>
            <w:p>
              <w:pPr>
                <w:spacing w:after="160"/>
              </w:pPr>
              <w:r>
                <w:rPr>
                  <w:i/>
                </w:rPr>
                <w:t xml:space="preserve">På bakgrunn av ovennevnte vurderer kommunen at tiltaket vil medføre en vesentlig tilsidesettelse av hensynene bak den bestemmelsen det er søkt dispensasjon fra.</w:t>
              </w:r>
            </w:p>
            <w:p>
              <w:pPr>
                <w:spacing w:after="160"/>
              </w:pPr>
              <w:r>
                <w:rPr>
                  <w:i/>
                </w:rPr>
                <w:t xml:space="preserve">Siden begge vilkårene i pbl. § 19-2 annet ledd må være oppfylt før dispensasjon kan gis, er det ikke nødvendig å ta stilling til om fordelene ved å gi dispensasjon er klart større enn ulempene.»</w:t>
              </w:r>
            </w:p>
            <w:p>
              <w:pPr>
                <w:spacing w:after="160"/>
              </w:pPr>
              <w:r>
                <w:t xml:space="preserve">Klage på vedtak om avslag på dispensasjon ble innsendt av tiltakshaver v/ ansvarlig søker Hjort Arkitekter AS den 16.03.26.</w:t>
              </w:r>
            </w:p>
            <w:p>
              <w:pPr>
                <w:spacing w:after="160"/>
              </w:pPr>
              <w:r>
                <w:t xml:space="preserve">I klagen opplyses det om at eiendommen har hatt bolig i andre etasje siden oppføringen, og etablering av to boenheter i første etasje innebærer dermed i realiteten en videreføring og tilpasning av eksisterende boligbruk i bygget.</w:t>
              </w:r>
            </w:p>
            <w:p>
              <w:pPr>
                <w:spacing w:after="160"/>
              </w:pPr>
              <w:r>
                <w:t xml:space="preserve">Klager mener at vedtaket ikke konkretiserer hvilken næringsutvikling som kommunen mener eventuelt kan bli vanskeliggjort og kommunens vurdering fremstår derfor som generell og lite stedsspesifikk.</w:t>
              </w:r>
            </w:p>
            <w:p>
              <w:pPr>
                <w:spacing w:after="160"/>
              </w:pPr>
              <w:r>
                <w:t xml:space="preserve">I klagen vises det til at eiendommen ligger i en sammenhengende boligrekke langs Vipevegen, i nærhet til barnehage, skole og universitetscampus med betydelig ferdsel av barn og unge. Klager anfører at reguleringsplanen fra 2003, etter mer enn 20 år, i liten grad har gitt faktisk næringsutvikling. Vipevegen fremstår derfor fortsatt som et bolig- og skoleområde.  </w:t>
              </w:r>
            </w:p>
            <w:p>
              <w:pPr>
                <w:spacing w:after="160"/>
              </w:pPr>
              <w:r>
                <w:t xml:space="preserve">Klager anfører at trafikkstrukturen i området er endret som følge av utbyggingen av fylkesveien. Den opprinnelige adkomsten fra Vallermyrvegen er fjernet, og eiendommen har nå adkomst fra baksiden. Ifølge tidligere eiere medførte dette at grunnlaget for næringsdriften/kafevirksomhet forsvant. Klager viser til at bortfallet av direkte adkomst fra hovedvei har stor betydning for eiendommens egnethet som næringsvirksomhet.</w:t>
              </w:r>
            </w:p>
            <w:p>
              <w:pPr>
                <w:spacing w:after="160"/>
              </w:pPr>
              <w:r>
                <w:t xml:space="preserve">Når det gjelder dispensasjonsvurderingen, anfører klager at ulempene fremstår som begrensede, og at fordelene ved å tillate boligbruk vurderes som klart større enn ulempene.</w:t>
              </w:r>
            </w:p>
            <w:p>
              <w:pPr>
                <w:spacing w:after="160"/>
              </w:pPr>
              <w:r>
                <w:t xml:space="preserve">Videre er det innsendt nabouttalelse hvor naboene stiller seg positive til bruksendringen.</w:t>
              </w:r>
            </w:p>
            <w:p>
              <w:pPr>
                <w:spacing w:after="160"/>
              </w:pPr>
              <w:r>
                <w:t xml:space="preserve">Klager hevder at kommunens praksis viser at boligbruk er opprettholdt og utvidet siden reguleringsplanen ble vedtatt. I klagen vises det til to andre saker som ifølge klager understøtter dette, Vipevegen 3 og Vipevegen 15. I tilfelle kommunen legger til grunn en streng håndheving av reguleringsformålet, ønsker klager at kommunen redegjør for hvordan dette samsvarer med ovennevnte saker i fht. prinsipper om saklighet og likebehandling.</w:t>
              </w:r>
            </w:p>
            <w:p>
              <w:pPr>
                <w:spacing w:after="160"/>
              </w:pPr>
              <w:r>
                <w:rPr>
                  <w:b/>
                </w:rPr>
                <w:t xml:space="preserve">Kommunedirektørens vurdering</w:t>
              </w:r>
            </w:p>
            <w:p>
              <w:pPr>
                <w:spacing w:after="160"/>
              </w:pPr>
              <w:r>
                <w:t xml:space="preserve">Tiltakshaver er part med klagerett, jf. forvaltningsloven (fvl.) § 28 første ledd. Klagen er rettidig fremsatt jf. fvl. § 29 første ledd.</w:t>
              </w:r>
            </w:p>
            <w:p>
              <w:pPr>
                <w:spacing w:after="160"/>
              </w:pPr>
              <w:r>
                <w:t xml:space="preserve">De relevante påstandene i klagen er vurdert, men Kommunedirektøren kan ikke se at disse inneholder opplysninger som tilsier endring av vedtaket. Det er likevel grunn til å kommentere følgende:</w:t>
              </w:r>
            </w:p>
            <w:p>
              <w:pPr>
                <w:spacing w:after="160"/>
              </w:pPr>
              <w:r>
                <w:t xml:space="preserve">Tiltaket er i strid med regulert formål forretning/kontor/industri. Tillatelse krever følgelig dispensasjon etter pbl. § 19-2.</w:t>
              </w:r>
            </w:p>
            <w:p>
              <w:pPr>
                <w:spacing w:after="160"/>
              </w:pPr>
              <w:r>
                <w:t xml:space="preserve">Dispensasjon kan bare gis dersom hensynene bak bestemmelsen det dispenseres fra, hensynene i lovens formålsbestemmelse eller nasjonale eller regionale interesser, ikke blir vesentlig tilsidesatt. I tillegg skal fordelene ved å gi dispensasjon være klart større enn ulempene.</w:t>
              </w:r>
            </w:p>
            <w:p>
              <w:pPr>
                <w:spacing w:after="160"/>
              </w:pPr>
              <w:r>
                <w:t xml:space="preserve">Hensikten med regulert formål er å styre en effektiv arealutnyttelse og en utvikling i tråd med overordnede planer for områdeutvikling. Formålene forretning/kontor/industri har til hensikt å sikre arealer til næringsvirksomhet. De skal legge til rette for arbeidsplasser, tjenesteyting og produksjonsvirksomhet, samt bidra til en hensiktsmessig funksjonsdeling i arealplanleggingen.</w:t>
              </w:r>
            </w:p>
            <w:p>
              <w:pPr>
                <w:spacing w:after="160"/>
              </w:pPr>
              <w:r>
                <w:t xml:space="preserve">Kommunen er kjent med at det på Vipevegen allerede er etablert boliger, på begge sider av den aktuelle eiendommen. Disse var etablert som bolig allerede før reguleringsplanen ble vedtatt tilbake i 2003 og kan derfor benyttes lovlig som bolig i strid med gjeldende arealformål.</w:t>
              </w:r>
            </w:p>
            <w:p>
              <w:pPr>
                <w:spacing w:after="160"/>
              </w:pPr>
              <w:r>
                <w:t xml:space="preserve">Selv om gjeldende reguleringsplan er fra 2003, fastsetter den fremtidig arealbruk for området og er ved kommunestyrets vedtak bindende for nye tiltak eller utvidelse av eksisterende tiltak som nevnt i § 1-6, jf. pbl. § 12-4 første ledd. Ytterligere etablering av boenheter vil derfor være i strid med kommunens intensjon og ønsket utvikling av området som et næringsområde. Det er derfor viktig at det ikke tillates flere boliger enn det allerede er i dag.</w:t>
              </w:r>
            </w:p>
            <w:p>
              <w:pPr>
                <w:spacing w:after="160"/>
              </w:pPr>
              <w:r>
                <w:t xml:space="preserve">En økning i boligandelen kan medføre en gradvis forskyvning av arealbruken bort fra det fastsatte næringsformålet. Dette vil kunne medføre at det må tas større hensyn til støy, trafikk og andre miljøbelastninger som gjelder for boliger. Det kan nevnes at det i tillegg er søkt om dispensasjon fra kommuneplanen pkt. 1.6.3 støy, ettersom eiendommen ligger i rød og gul støysone iht. T-1442.</w:t>
              </w:r>
            </w:p>
            <w:p>
              <w:pPr>
                <w:spacing w:after="160"/>
              </w:pPr>
              <w:r>
                <w:t xml:space="preserve">Kommunedirektøren viser til at den avveining av interesser som ligger til grunn for den utnyttelse av arealene som reguleringsplanen legger til rette for, forutsetter at området ses i en større sammenheng. I dette tilfellet har kommunen etter en demokratisk planprosess vurdert ønsket arealbruk for området og blant annet kommet frem til at arealene skal benyttes til næring og ikke bolig.</w:t>
              </w:r>
            </w:p>
            <w:p>
              <w:pPr>
                <w:spacing w:after="160"/>
              </w:pPr>
              <w:r>
                <w:t xml:space="preserve">Det må videre legges vekt på at kommuneplanens arealdel også avsetter området til næringsformål. Dette indikerer at det ikke foreligger overordnede planforutsetninger om omdisponering til boligformål.</w:t>
              </w:r>
            </w:p>
            <w:p>
              <w:pPr>
                <w:spacing w:after="160"/>
              </w:pPr>
              <w:r>
                <w:t xml:space="preserve">Arealformålet er resultat av konkrete vurderinger og prioriteringer av motstridende hensyn og interesser. Kommunedirektøren mener at slike endringer av betydning ikke bør skje gjennom enkeltvise dispensasjoner, men eventuelt gjennom en planprosess der berørte interesser, herunder konsekvenser for naboer og omkringliggende miljø, kan vurderes i et helhetsperspektiv og tas stilling til på et overordnet nivå.</w:t>
              </w:r>
            </w:p>
            <w:p>
              <w:pPr>
                <w:spacing w:after="160"/>
              </w:pPr>
              <w:r>
                <w:t xml:space="preserve">Kommunedirektøren mener derfor at hensynene bak arealformålet blir vesentlig tilsidesatt ved en dispensasjon i dette tilfellet, ettersom reguleringsplanen fravikes på et vesentlig punkt, nemlig at det i aktuelle område kun skal drives næringsvirksomhet.</w:t>
              </w:r>
            </w:p>
            <w:p>
              <w:pPr>
                <w:spacing w:after="160"/>
              </w:pPr>
              <w:r>
                <w:t xml:space="preserve">Siden begge vilkårene i pbl. § 19-2 annet ledd må være oppfylt før dispensasjon kan gis, er det ikke nødvendig å ta stilling til om fordelene ved å gi dispensasjon er klart større enn ulempene.</w:t>
              </w:r>
            </w:p>
            <w:p>
              <w:pPr>
                <w:spacing w:after="160"/>
              </w:pPr>
              <w:r>
                <w:t xml:space="preserve">Det kan likevel bemerkes at det ikke er påvist slike planfaglige fordeler i saken som er relevante i en dispensasjonsvurdering. Fordeler for tiltakshaver av privat karakter vil ikke kunne vektlegges i denne sammenheng.</w:t>
              </w:r>
            </w:p>
            <w:p>
              <w:pPr>
                <w:spacing w:after="160"/>
              </w:pPr>
              <w:r>
                <w:t xml:space="preserve">Vilkårene for å gi dispensasjon etter pbl. § 19-2 fra reguleringsplanens formål anses ikke oppfylt.</w:t>
              </w:r>
            </w:p>
            <w:p>
              <w:pPr>
                <w:spacing w:after="160"/>
              </w:pPr>
              <w:r>
                <w:t xml:space="preserve">Når det gjelder anførselen om hvilken næringsutvikling som kan bli vanskeliggjort viser kommunedirektøren til reguleringsbestemmelse pkt. 7.1 som regulerer hva området kan brukes til:  </w:t>
              </w:r>
              <w:r>
                <w:rPr>
                  <w:i/>
                </w:rPr>
                <w:t xml:space="preserve">«Områdene kan brukes til forretning, kontor, verksted-, lager-, transport- og håndverksvirksomhet, samt lett industri. Forretninger skal være for plasskrevende varer som for eksempel biler og motorkjøretøy, landbruksmaskiner, trelast og byggevarer, plantesal.»</w:t>
              </w:r>
            </w:p>
            <w:p>
              <w:pPr>
                <w:spacing w:after="160"/>
              </w:pPr>
              <w:r>
                <w:rPr>
                  <w:u w:val="single"/>
                </w:rPr>
                <w:t xml:space="preserve">Usaklig forskjellsbehandling</w:t>
              </w:r>
            </w:p>
            <w:p>
              <w:pPr>
                <w:spacing w:after="160"/>
              </w:pPr>
              <w:r>
                <w:t xml:space="preserve">Klager har vist til to andre eiendommer i Vipevegen. For Vipevegen 3 (gbnr. 46/345) ble det 21.01.2015 gitt tillatelse til oppretting av ny boenhet. Videre vises det til Vipevegen 15 (gbnr. 46/442) hvor det 11.01.2024 ble gitt rammetillatelse til bruksendring av kjeller fra tilleggsdel til hoveddel.</w:t>
              </w:r>
            </w:p>
            <w:p>
              <w:pPr>
                <w:spacing w:after="160"/>
              </w:pPr>
              <w:r>
                <w:t xml:space="preserve">Kommunedirektøren vil kort bemerke at usaklig forskjellsbehandling kan medføre at et vedtak som det ellers ikke er noe galt med må anses ugyldig. Feilen kan bestå i at forvaltningen ikke kan gi noen saklig grunn for ikke å følge en konsekvent praksis. For at en anførsel om usaklig forskjellsbehandling skal føre frem, er det en forutsetning at det gjelder faktisk og rettslig sammenlignbare saker.</w:t>
              </w:r>
            </w:p>
            <w:p>
              <w:pPr>
                <w:spacing w:after="160"/>
              </w:pPr>
              <w:r>
                <w:t xml:space="preserve">Begge boliger er rettslig sammenlignbare med aktuelle eiendom når det gjelder plangrunnlag.</w:t>
              </w:r>
            </w:p>
            <w:p>
              <w:pPr>
                <w:spacing w:after="160"/>
              </w:pPr>
              <w:r>
                <w:t xml:space="preserve">Faktisk skiller de seg ved at disse eiendommene er matrikkelført som boligbygg, mens Vipevegen 5 er matrikkelført som næringsbygg.</w:t>
              </w:r>
            </w:p>
            <w:p>
              <w:pPr>
                <w:spacing w:after="160"/>
              </w:pPr>
              <w:r>
                <w:t xml:space="preserve">Til forskjell fra Vipevegen 5 første etasje, er Vipevegen 3 og 15 allerede tatt i bruk som bolig før reguleringsplanen ble vedtatt.</w:t>
              </w:r>
            </w:p>
            <w:p>
              <w:pPr>
                <w:spacing w:after="160"/>
              </w:pPr>
              <w:r>
                <w:t xml:space="preserve">For Vipevegen 3 er det i vedtak av 21.01.2015 lagt til grunn følgende:</w:t>
              </w:r>
            </w:p>
            <w:p>
              <w:pPr>
                <w:spacing w:after="160"/>
              </w:pPr>
              <w:r>
                <w:rPr>
                  <w:i/>
                </w:rPr>
                <w:t xml:space="preserve">«Eiendommen er regulert til næringsformål (Forretning/Kontor/industri) og står oppført i kommuneplanen 2007 – 2020 som offentlig bygning – fremtidig.</w:t>
              </w:r>
            </w:p>
            <w:p>
              <w:pPr>
                <w:spacing w:after="160"/>
              </w:pPr>
              <w:r>
                <w:rPr>
                  <w:i/>
                </w:rPr>
                <w:t xml:space="preserve">Oppretting av ny boenhet utløser ikke krav til dispensasjon etter pbl. § 19-1 når boligen brukes til samme formål. Det er ikke omsøkt arealmessige endringer i boligen.»</w:t>
              </w:r>
            </w:p>
            <w:p>
              <w:pPr>
                <w:spacing w:after="160"/>
              </w:pPr>
              <w:r>
                <w:t xml:space="preserve">Vipevegen 3 gjelder bruksendring fra enebolig til hybel/sekundærleilighet, det vil si oppretting av ny boenhet i eksisterende enebolig. Denne er derfor ikke faktisk sammenlignbar da klagesaken gjelder oppretting av to nye boenheter i eksisterende næringsarealer.</w:t>
              </w:r>
            </w:p>
            <w:p>
              <w:pPr>
                <w:spacing w:after="160"/>
              </w:pPr>
              <w:r>
                <w:t xml:space="preserve">Vipevegen 15 gjelder bruksendring fra tilleggsdel til hoveddel, og er derfor ikke faktisk sammenlignbar, da klagesaken gjelder oppretting av to nye boenheter.</w:t>
              </w:r>
            </w:p>
            <w:p>
              <w:pPr>
                <w:spacing w:after="160"/>
              </w:pPr>
              <w:r>
                <w:t xml:space="preserve">Etter dette kan ikke anførselen om usaklig forskjellsbehandling føre frem.</w:t>
              </w:r>
            </w:p>
            <w:p>
              <w:pPr>
                <w:spacing w:after="160"/>
              </w:pPr>
              <w:r>
                <w:t xml:space="preserve"> </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 Søknad om rammetillatelse 28.01.26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 Situasjonskart  1_1000</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1.2. Situasjonsplan 1_500</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1.3. Veiledning og tilbakemelding på søknad fra Telemark fylkeskommune 19.12.25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1.4. Rapport om vurdering av støyforhold 27.11.25</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1.5. Fasade øst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1.6. Fasade sør</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1.7. Fasade nord</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1.8. Fasade vest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1.9. Plan 1 BRANN</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1.10. Plan 1. etg</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1.11. Søknad om dispensasjoner 19.01.26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2. Dispensasjon - Avslag - Etablering av to boenheter 23.02.26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 Klage på avslag 16.03.26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3.1. Kartutsnitt</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3.2. Signert - Nabouttalelse 11.03.26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3.3. Vedtak Vipevegen 3 - Oppretting av ny boenhet - Tillatelse 21.01.15</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image" Target="/media/image.jpg" Id="R4a14b9cc92d94d4b" /><Relationship Type="http://schemas.openxmlformats.org/officeDocument/2006/relationships/image" Target="/media/image2.jpg" Id="R54029e09bdb6427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Klagebehandling - Gbnr. 46/344, Vipevegen 5 - Etablering av to boenheter</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