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26/3915</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3</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Ciydem Ocak</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07.05.2026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Klagebehandling - Gbnr. 81/83, Skipsbakken 14 - Fasadeendring</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43/26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1.        Klagen tas ikke til følge. Vedtak av 16.03.26 i sak 186/26 opprettholdes.</w:t>
              </w:r>
            </w:p>
            <w:p>
              <w:pPr>
                <w:spacing w:after="160"/>
              </w:pPr>
              <w:r>
                <w:t xml:space="preserve">2.        Saken oversendes til Statsforvalteren i Vestfold og Telemark for endelig avgjørelse</w:t>
              </w:r>
            </w:p>
            <w:p>
              <w:pPr>
                <w:spacing w:after="160"/>
              </w:pPr>
              <w:r>
                <w:t xml:space="preserve"> </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Kort om saken</w:t>
              </w:r>
            </w:p>
            <w:p>
              <w:pPr>
                <w:spacing w:after="160"/>
              </w:pPr>
              <w:r>
                <w:t xml:space="preserve">Saken gjelder avslag på søknad om dispensasjon fra avstandskravet på 4 meter i plan- og bygningsloven (pbl.) for fasadeendring, som omfatter innglassing og flytting av inngangsdør i eksisterende svalgang. </w:t>
              </w:r>
            </w:p>
            <w:p>
              <w:pPr>
                <w:spacing w:after="160"/>
              </w:pPr>
              <w:r>
                <w:t xml:space="preserve">Vedtaket om avslag på dispensasjon er påklaget. Klager viser til at tiltaket gjelder en svalgang som ble lovlig oppført i 2007, og at tiltaket ikke innebærer endring i byggets plassering eller utvidelse av bebygd areal, men en begrenset fasadeendring. Ifølge klager vil innkledning 3,8 meter fra nabogrensen ikke føre til at avstanden mellom bygningene blir vesentlig redusert, og hensynet bak bestemmelsen vil derfor ikke bli vesentlig tilsidesatt. I tillegg viser klager til at fordelene ved dispensasjon er klart større enn ulempene. Klager viser bl.a. til bedre planløsning og bokvalitet, samt mulighet for lagringsplass.</w:t>
              </w:r>
            </w:p>
            <w:p>
              <w:pPr>
                <w:spacing w:after="160"/>
              </w:pPr>
              <w:r>
                <w:t xml:space="preserve">Kommunen mener at en dispensasjon i en situasjon hvor nabo motsetter seg tiltaket, vil bidra til å svekke hovedregelen om avstand til nabogrense og dermed redusere forutsigbarheten i regelverket. Etter en samlet vurdering finner kommunen at fordelene ved dispensasjon ikke er klart større enn ulempene.</w:t>
              </w:r>
            </w:p>
            <w:p>
              <w:pPr>
                <w:spacing w:after="160"/>
              </w:pPr>
              <w:r>
                <w:t xml:space="preserve">Kommunedirektøren kan ikke se at det fremkommer opplysninger i klagen som tilsier et annet resultat. Det innstilles på at vedtaket opprettholdes.</w:t>
              </w:r>
            </w:p>
            <w:p>
              <w:pPr>
                <w:spacing w:after="160"/>
              </w:pPr>
              <w:r>
                <w:t xml:space="preserve"> </w:t>
              </w:r>
            </w:p>
          </w:sdtContent>
        </w:sdt>
        <w:sdt>
          <w:sdtPr>
            <w:alias w:val="SaksTekst"/>
            <w:tag w:val="SaksTekst"/>
            <w:id w:val="-1309477531"/>
          </w:sdtPr>
          <w:sdtContent>
            <w:p>
              <w:pPr>
                <w:spacing w:after="160"/>
              </w:pPr>
              <w:r>
                <w:rPr>
                  <w:b/>
                </w:rPr>
                <w:t xml:space="preserve">Planstatus og rettslig grunnlag</w:t>
              </w:r>
            </w:p>
            <w:p>
              <w:pPr>
                <w:spacing w:after="160"/>
              </w:pPr>
              <w:r>
                <w:t xml:space="preserve">Området er i reguleringsplan for Banken mm. vedtatt 30.01.1992 regulert til boligbebyggelse med spesialområde for antikvarisk verneverdig boligbebyggelse og bygningen er vist med tykk strek på plankartet.</w:t>
              </w:r>
            </w:p>
            <w:p>
              <w:pPr>
                <w:spacing w:after="160"/>
              </w:pPr>
              <w:r>
                <w:t xml:space="preserve"> </w:t>
              </w:r>
            </w:p>
            <w:p>
              <w:pPr>
                <w:spacing w:after="160"/>
              </w:pPr>
              <w:r>
                <w:drawing>
                  <wp:inline distT="0" distB="0" distL="0" distR="0">
                    <wp:extent cx="4391025" cy="1552575"/>
                    <wp:effectExtent l="19050" t="0" r="0" b="0"/>
                    <wp:docPr id="4"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726d20ed943f4f8a"/>
                            <a:srcRect/>
                            <a:stretch>
                              <a:fillRect/>
                            </a:stretch>
                          </pic:blipFill>
                          <pic:spPr bwMode="auto">
                            <a:xfrm>
                              <a:off x="0" y="0"/>
                              <a:ext cx="4391025" cy="1552575"/>
                            </a:xfrm>
                            <a:prstGeom prst="rect">
                              <a:avLst/>
                            </a:prstGeom>
                          </pic:spPr>
                        </pic:pic>
                      </a:graphicData>
                    </a:graphic>
                  </wp:inline>
                </w:drawing>
              </w:r>
            </w:p>
            <w:p>
              <w:pPr>
                <w:spacing w:after="160"/>
              </w:pPr>
              <w:r>
                <w:t xml:space="preserve">Eiendommen inngår i Riksantikvarens oversikt over kulturmiljøer og landskap av nasjonal interesse (tidligere NB!-registeret).</w:t>
              </w:r>
            </w:p>
            <w:p>
              <w:pPr>
                <w:spacing w:after="160"/>
              </w:pPr>
              <w:r>
                <w:t xml:space="preserve">Rettsvirkningene av reguleringsplanen fremgår av pbl. § 12-4. Ifølge annet ledd må ikke tiltak være i strid med planens arealformål eller bestemmelser.</w:t>
              </w:r>
            </w:p>
            <w:p>
              <w:pPr>
                <w:spacing w:after="160"/>
              </w:pPr>
              <w:r>
                <w:t xml:space="preserve">Tiltaket ligger nærmere nabogrense enn 4 meter, jf. pbl. § 29-4 annet ledd.</w:t>
              </w:r>
            </w:p>
            <w:p>
              <w:pPr>
                <w:spacing w:after="160"/>
              </w:pPr>
              <w:r>
                <w:t xml:space="preserve"> </w:t>
              </w:r>
            </w:p>
            <w:p>
              <w:pPr>
                <w:spacing w:after="160"/>
              </w:pPr>
              <w:r>
                <w:rPr>
                  <w:b/>
                </w:rPr>
                <w:t xml:space="preserve">Saksfremstilling</w:t>
              </w:r>
            </w:p>
            <w:p>
              <w:pPr>
                <w:spacing w:after="160"/>
              </w:pPr>
              <w:r>
                <w:t xml:space="preserve">Tiltakshaver Trude Allis Nygaard søkte, den 21.11.25 om dispensasjon for fasadeendring. Supplerende dokumentasjon er mottatt 13.12.25, 21.01.26, 23.01.26, 18.02.26 og 04.03.26.</w:t>
              </w:r>
            </w:p>
            <w:p>
              <w:pPr>
                <w:spacing w:after="160"/>
              </w:pPr>
              <w:r>
                <w:t xml:space="preserve">Det fremgår av søknaden at denne gjelder formalisering av allerede utført fasadeendring med innglassing og flytting av inngangsdør i eksisterende svalgang. Svalgangen er godkjent plassert 3,5 meter fra naboens grense i sak 0350/07 datert 12.07.2007. Søker oppgir at den faktiske avstand er 3,81 meter til nabogrensen. Godkjenningen gjelder åpen svalgang.</w:t>
              </w:r>
            </w:p>
            <w:p>
              <w:pPr>
                <w:spacing w:after="160"/>
              </w:pPr>
              <w:r>
                <w:drawing>
                  <wp:inline distT="0" distB="0" distL="0" distR="0">
                    <wp:extent cx="5095875" cy="1809750"/>
                    <wp:effectExtent l="19050" t="0" r="0" b="0"/>
                    <wp:docPr id="5"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3d9b574d92a44036"/>
                            <a:srcRect/>
                            <a:stretch>
                              <a:fillRect/>
                            </a:stretch>
                          </pic:blipFill>
                          <pic:spPr bwMode="auto">
                            <a:xfrm>
                              <a:off x="0" y="0"/>
                              <a:ext cx="5095875" cy="1809750"/>
                            </a:xfrm>
                            <a:prstGeom prst="rect">
                              <a:avLst/>
                            </a:prstGeom>
                          </pic:spPr>
                        </pic:pic>
                      </a:graphicData>
                    </a:graphic>
                  </wp:inline>
                </w:drawing>
              </w:r>
            </w:p>
            <w:p>
              <w:pPr>
                <w:spacing w:after="160"/>
              </w:pPr>
              <w:r>
                <w:t xml:space="preserve">Gjeldende reguleringsplan for området har ingen bestemmelse om avstand og innkledningen innebærer derfor at lovens avstandsbestemmelse på 4 meter gjelder.</w:t>
              </w:r>
            </w:p>
            <w:p>
              <w:pPr>
                <w:spacing w:after="160"/>
              </w:pPr>
              <w:r>
                <w:t xml:space="preserve">Omsøkt fasadeendring/innkledning av svalgangen utløser krav om nabosamtykke når tiltaket utføres nærmere enn 4 meter fra nabogrensen, jf. pbl. § 29-4 tredje ledd bokstav a. Det er ikke gitt nabosamtykke og tillatelse krever følgelig dispensasjon etter pbl. § 19-2.</w:t>
              </w:r>
            </w:p>
            <w:p>
              <w:pPr>
                <w:spacing w:after="160"/>
              </w:pPr>
              <w:r>
                <w:t xml:space="preserve">I søknaden er det bl.a. vist til at tiltaket vil gi god arealutnyttelse og skjerme for vind og vær, samt at det er tatt hensyn til byggets opprinnelige byggeskikk. Det er videre vist til at tiltaket ikke vil berøre lysforhold, luft eller privatlivet til naboeiendommen.</w:t>
              </w:r>
            </w:p>
            <w:p>
              <w:pPr>
                <w:spacing w:after="160"/>
              </w:pPr>
              <w:r>
                <w:t xml:space="preserve">Dispensasjonssøknaden er nabovarslet etter pbl. § 21-3, jf. pbl. § 19-1 annet punktum. Det foreligger merknad av 23.11.25 og 04.12.25 fra nabo på gbnr. 81/84.</w:t>
              </w:r>
            </w:p>
            <w:p>
              <w:pPr>
                <w:spacing w:after="160"/>
              </w:pPr>
              <w:r>
                <w:t xml:space="preserve">Samtykke til redusert avstand gis ikke. Naboene begrunner dette særlig med hensynet til brannsikkerhet, samt at en utvidelse av vegglivet på bygget kan få konsekvenser for deres eiendom. Naboene viser til at redusert avstand kan medføre økte krav til branntekniske tiltak og dermed potensielle kostnader for naboeiendommen.</w:t>
              </w:r>
            </w:p>
            <w:p>
              <w:pPr>
                <w:spacing w:after="160"/>
              </w:pPr>
              <w:r>
                <w:t xml:space="preserve">Naboene påpeker også at eiendomsgrensen mellom eiendommene oppfattes som uklar, noe som gjør det vanskelig å fastslå nøyaktig avstand til nabogrensen.</w:t>
              </w:r>
            </w:p>
            <w:p>
              <w:pPr>
                <w:spacing w:after="160"/>
              </w:pPr>
              <w:r>
                <w:t xml:space="preserve">Naboene anfører videre at vilkårene for dispensasjon etter pbl. § 19-2 ikke anses oppfylt. Det vises til uttalelser fra Sivilombudet om at det skal utvises tilbakeholdenhet med å dispensere fra avstandskravet, og at tiltakshaver må kunne påvise klare og relevante fordeler ved dispensasjon.</w:t>
              </w:r>
            </w:p>
            <w:p>
              <w:pPr>
                <w:spacing w:after="160"/>
              </w:pPr>
              <w:r>
                <w:t xml:space="preserve">Kommunen ga avslag i vedtak av 16.03.26 i sak 186/26 på søknad om dispensasjon for fasadeendring med følgende begrunnelse:</w:t>
              </w:r>
            </w:p>
            <w:p>
              <w:pPr>
                <w:spacing w:after="160"/>
              </w:pPr>
              <w:r>
                <w:rPr>
                  <w:i/>
                </w:rPr>
                <w:t xml:space="preserve">«Avstandskravet i pbl. § 29-4 skal blant annet ivareta hensyn til brannsikkerhet, lys- og luftforhold, samt hensynet til naboeiendommen. Bestemmelsen skal også bidra til forutsigbarhet i arealdisponeringen og sikre tilstrekkelig avstand mellom bygninger.</w:t>
              </w:r>
            </w:p>
            <w:p>
              <w:pPr>
                <w:spacing w:after="160"/>
              </w:pPr>
              <w:r>
                <w:rPr>
                  <w:i/>
                </w:rPr>
                <w:t xml:space="preserve">Det ble i søknad om oppføring av svalgang tilbake i 2007 opplyst om at svalgangen skulle brannsprinkles, og kommunen forutsetter at dette er tenkt videreført ved det omsøkte tiltaket. Tiltakshaver opplyser også om bruk av brannhemmende materialer. Kommunen vurderer at branntekniske krav kan løses på egen eiendom og derfor kan ikke hensynet til brann anses å være vesentlig tilsidesatt.</w:t>
              </w:r>
            </w:p>
            <w:p>
              <w:pPr>
                <w:spacing w:after="160"/>
              </w:pPr>
              <w:r>
                <w:rPr>
                  <w:i/>
                </w:rPr>
                <w:t xml:space="preserve">Hensynet til lys og luft kan heller ikke anses å tilsidesettes i vesentlig grad, da tiltaket gjelder innglassing ved bruk av gjennomsiktig glass og avstanden til nabogrense ikke endres fra eksisterende situasjon.</w:t>
              </w:r>
            </w:p>
            <w:p>
              <w:pPr>
                <w:spacing w:after="160"/>
              </w:pPr>
              <w:r>
                <w:rPr>
                  <w:i/>
                </w:rPr>
                <w:t xml:space="preserve">I tilfeller der bygg plasseres nærmere nabogrensen enn lovens hovedregel, åpner bestemmelsen for dette dersom nabo gir skriftlig samtykke. Et slikt samtykke foreligger ikke i denne saken. Nabo har tvert imot uttrykkelig motsatt seg tiltaket.</w:t>
              </w:r>
            </w:p>
            <w:p>
              <w:pPr>
                <w:spacing w:after="160"/>
              </w:pPr>
              <w:r>
                <w:rPr>
                  <w:i/>
                </w:rPr>
                <w:t xml:space="preserve">Avstandsregelen er i stor grad begrunnet i hensynet til naboeiendommen, og en dispensasjon uten samtykke kan derfor innebære at disse hensynene blir svekket.</w:t>
              </w:r>
            </w:p>
            <w:p>
              <w:pPr>
                <w:spacing w:after="160"/>
              </w:pPr>
              <w:r>
                <w:rPr>
                  <w:i/>
                </w:rPr>
                <w:t xml:space="preserve">Kommunen vurderer derfor at en dispensasjon i dette tilfellet vil innebære at hensynene bak bestemmelsen i pbl. § 29-4 blir tilsidesatt, men ikke vesentlig.</w:t>
              </w:r>
            </w:p>
            <w:p>
              <w:pPr>
                <w:spacing w:after="160"/>
              </w:pPr>
              <w:r>
                <w:rPr>
                  <w:i/>
                </w:rPr>
                <w:t xml:space="preserve">Det kreves i tillegg at fordelene veies opp mot ulempene. Det er i første rekke samfunnsmessige fordele av planfaglig og arealdisponeringsmessig karakter, det er snakk om i denne sammenheng.</w:t>
              </w:r>
            </w:p>
            <w:p>
              <w:pPr>
                <w:spacing w:after="160"/>
              </w:pPr>
              <w:r>
                <w:rPr>
                  <w:i/>
                </w:rPr>
                <w:t xml:space="preserve">Tiltakshaver har ikke påvist slike klare og relevante fordeler som kreves.</w:t>
              </w:r>
            </w:p>
            <w:p>
              <w:pPr>
                <w:spacing w:after="160"/>
              </w:pPr>
              <w:r>
                <w:rPr>
                  <w:i/>
                </w:rPr>
                <w:t xml:space="preserve">Fordelen ved å gi dispensasjon vil i hovedsak være at tiltakshaver kan gjennomføre ønsket fasadeendring på eksisterende bygg og at svalgangen får en mer hensiktsmessig bruk.</w:t>
              </w:r>
            </w:p>
            <w:p>
              <w:pPr>
                <w:spacing w:after="160"/>
              </w:pPr>
              <w:r>
                <w:rPr>
                  <w:i/>
                </w:rPr>
                <w:t xml:space="preserve">Ulempene knytter seg særlig til hensynet til naboeiendommen. Nabo har fremmet protest mot tiltaket, og kommunen legger vekt på at tiltaket ligger nærmere felles eiendomsgrense enn det lovens hovedregel åpner for. At ulempene for naboen anses som beskjedne er ikke et selvstendig argument for at dispensasjon skal innvilges.</w:t>
              </w:r>
            </w:p>
            <w:p>
              <w:pPr>
                <w:spacing w:after="160"/>
              </w:pPr>
              <w:r>
                <w:rPr>
                  <w:i/>
                </w:rPr>
                <w:t xml:space="preserve">Kommunen mener at en dispensasjon i en situasjon hvor naboen uttrykkelig motsetter seg tiltaket vil kunne bidra til å svekke hovedregelen om avstand til nabogrense og dermed redusere forutsigbarheten i regelverket.</w:t>
              </w:r>
            </w:p>
            <w:p>
              <w:pPr>
                <w:spacing w:after="160"/>
              </w:pPr>
              <w:r>
                <w:rPr>
                  <w:i/>
                </w:rPr>
                <w:t xml:space="preserve">Etter en samlet vurdering finner kommunen at fordelene ved dispensasjon ikke er klart større enn ulempene.»</w:t>
              </w:r>
            </w:p>
            <w:p>
              <w:pPr>
                <w:spacing w:after="160"/>
              </w:pPr>
              <w:r>
                <w:t xml:space="preserve">Klage på vedtak om avslag på dispensasjon ble innsendt av advokat Bernhard Keysan Dornhofer v/HELP forsikring på vegne av tiltakshaver Trude Allis Nygaard, den 27.03.26.</w:t>
              </w:r>
            </w:p>
            <w:p>
              <w:pPr>
                <w:spacing w:after="160"/>
              </w:pPr>
              <w:r>
                <w:t xml:space="preserve">I klagen anføres det at vilkår for dispensasjon er oppfylt og at det skal gis tillatelse til tiltak.</w:t>
              </w:r>
            </w:p>
            <w:p>
              <w:pPr>
                <w:spacing w:after="160"/>
              </w:pPr>
              <w:r>
                <w:t xml:space="preserve">Klager påpeker at svalgangen er lovlig oppført og godkjent i 2007. Det omsøkte tiltaket innebærer derfor ikke endring i byggets plassering eller utvidelse av bebygd areal, men en begrenset fasadeendring.</w:t>
              </w:r>
            </w:p>
            <w:p>
              <w:pPr>
                <w:spacing w:after="160"/>
              </w:pPr>
              <w:r>
                <w:t xml:space="preserve">Klager mener videre at tiltaket ikke vil føre til at hensynene bak avstandskravet blir vesentlig tilsidesatt, selv om avstanden til nabogrensen vil være 3,8 meter. Det anføres at avstanden ikke blir vesentlig redusert, og at naboen selv har valgt å bygge huset sitt mye nærmere enn 4 meter.</w:t>
              </w:r>
            </w:p>
            <w:p>
              <w:pPr>
                <w:spacing w:after="160"/>
              </w:pPr>
              <w:r>
                <w:t xml:space="preserve">Klager viser også til at fordelene ved dispensasjon er klart større enn ulempene, særlig med hensyn til bedre planløsning, økt bokvalitet og mulighet for lagringsplass. Hvis klager ikke har mulighet for å låse inn gjenstander i svalgangen, vil behovet for et nytt tilbygg oppstå, og det vil kunne medføre større terrenginngrep, mer skygge/innsyn, større volum osv.</w:t>
              </w:r>
            </w:p>
            <w:p>
              <w:pPr>
                <w:spacing w:after="160"/>
              </w:pPr>
              <w:r>
                <w:t xml:space="preserve">Ifølge klager vil tiltaket også redusere risikoen for snø og isdannelse og dermed fallulykker, samt forbedre inneklima, fuktsikkerhet og energieffektiviteten.</w:t>
              </w:r>
            </w:p>
            <w:p>
              <w:pPr>
                <w:spacing w:after="160"/>
              </w:pPr>
              <w:r>
                <w:t xml:space="preserve"> </w:t>
              </w:r>
            </w:p>
            <w:p>
              <w:pPr>
                <w:spacing w:after="160"/>
              </w:pPr>
              <w:r>
                <w:rPr>
                  <w:b/>
                </w:rPr>
                <w:t xml:space="preserve">Kommunedirektørens vurdering</w:t>
              </w:r>
            </w:p>
            <w:p>
              <w:pPr>
                <w:spacing w:after="160"/>
              </w:pPr>
              <w:r>
                <w:t xml:space="preserve">Tiltakshaver er part med klagerett, jf. forvaltningsloven (fvl.) § 28 første ledd. Klagen er rettidig fremsatt jf. fvl. § 29 første ledd.</w:t>
              </w:r>
            </w:p>
            <w:p>
              <w:pPr>
                <w:spacing w:after="160"/>
              </w:pPr>
              <w:r>
                <w:t xml:space="preserve">De relevante påstandene i klagen er vurdert, men Kommunedirektøren kan ikke se at disse inneholder opplysninger som tilsier endring av vedtaket. Det er likevel grunn til å kommentere følgende:</w:t>
              </w:r>
            </w:p>
            <w:p>
              <w:pPr>
                <w:spacing w:after="160"/>
              </w:pPr>
              <w:r>
                <w:t xml:space="preserve">I vedtak av 12.07.2007 ble svalgangen godkjent uten vinduer og dør. I forbindelse med tiltakshavers ønske om innkledning og flytting av dør, har kommunen gitt veiledning bl.a. i brev av 04.11.25 vår ref. 25/8110. Kommunen har opplyst om at området er regulert til spesialområde bevaring (område B1 – antikvarisk verneverdig boligbebyggelse) og at bygningen er vist med tykk strek på plankartet.</w:t>
              </w:r>
            </w:p>
            <w:p>
              <w:pPr>
                <w:spacing w:after="160"/>
              </w:pPr>
              <w:r>
                <w:t xml:space="preserve">Videre har kommunen vist til at eiendommen inngår i Riksantikvarens oversikt over kulturmiljøer og landskap av nasjonal interesse (tidligere NB!-registeret). Oversikten definerer utvalgte historiske byområder med kulturmiljøer av nasjonal interesse, hvor det må vises særlige hensyn i forbindelse med videre forvaltning og utvikling.</w:t>
              </w:r>
            </w:p>
            <w:p>
              <w:pPr>
                <w:spacing w:after="160"/>
              </w:pPr>
              <w:r>
                <w:t xml:space="preserve">På bakgrunn av dette er terskelen for å kreve søknad for fasadeendring lav, og kommunen vurderer at tiltaket er en søknadspliktig fasadeendring, jf. pbl. §§ 20-1 bokstav c og 20-2.</w:t>
              </w:r>
            </w:p>
            <w:p>
              <w:pPr>
                <w:spacing w:after="160"/>
              </w:pPr>
              <w:r>
                <w:t xml:space="preserve">Fasadeendringen ønskes utført 3,81 meter fra nabogrensen. Gjeldende reguleringsplan har ingen bestemmelse om avstand og det er derfor avstandsbestemmelsen/kravet i pbl. § 29-4 annet ledd som gjelder. Tiltaket er i strid med dette avstandskravet og det foreligger ikke nabosamtykke. Tillatelse krever derfor dispensasjon etter pbl. § 19-2.</w:t>
              </w:r>
            </w:p>
            <w:p>
              <w:pPr>
                <w:spacing w:after="160"/>
              </w:pPr>
              <w:r>
                <w:t xml:space="preserve">Formålet bak avstandskravet i pbl. § 29-4 annet ledd er blant annet brannvernhensyn og behovet for å sikre lys og luft mellom bygg og en viss avstand mellom nabobebyggelse, samt hensyn til terreng og omgivelsestilpasning, jf. rundskriv H-8/15 punkt 2.1.</w:t>
              </w:r>
            </w:p>
            <w:p>
              <w:pPr>
                <w:spacing w:after="160"/>
              </w:pPr>
              <w:r>
                <w:t xml:space="preserve">Kommunedirektøren minner om at det er høy terskel for å innvilge dispensasjon fra lovens avstandskrav. Et forbud i loven mot bygging nærmere enn 4 meter fra nabogrensen innebærer at lovgiver allerede har foretatt en avveining av interesser og tatt stilling til hva som må anses som akseptabel avstand for å ivareta lys og luft mellom bygninger, samt med hensyn til innsyn og utsyn. Det må da utvises tilbakeholdenhet med å dispensere til fordel for tiltakshaver på naboens bekostning når det gjelder forhold som det klart er tatt stilling til i loven.</w:t>
              </w:r>
            </w:p>
            <w:p>
              <w:pPr>
                <w:spacing w:after="160"/>
              </w:pPr>
              <w:r>
                <w:t xml:space="preserve">Det klare utgangspunktet er at borgerne skal kunne innrette seg i tiltro til at avstandskravet overholdes og at tiltakshaver ikke har krav på å få sitt ønske oppfylt. Det vises i denne sammenheng til uttalelser fra Sivilombudet bl.a. i sak 1995/224, sak 2008/2545, sak 2009/1336, sak 2011/1023 og sak 2011/3124.</w:t>
              </w:r>
            </w:p>
            <w:p>
              <w:pPr>
                <w:spacing w:after="160"/>
              </w:pPr>
              <w:r>
                <w:t xml:space="preserve">Dispensasjon kan bare gis dersom hensynene bak bestemmelsen det dispenseres fra, hensynene i lovens formålsbestemmelse eller nasjonale eller regionale interesser, ikke blir vesentlig tilsidesatt.</w:t>
              </w:r>
            </w:p>
            <w:p>
              <w:pPr>
                <w:spacing w:after="160"/>
              </w:pPr>
              <w:r>
                <w:t xml:space="preserve">Avstandskravet i pbl. § 29‑4 skal ivareta hensyn til blant annet brannsikkerhet, lys- og luftforhold samt hensynet til naboeiendommen. Kommunen vurderer at branntekniske forhold kan ivaretas på tiltakshavers eiendom, og at innglassing med gjennomsiktig glass ikke medfører vesentlig forringelse av lys- og luftforholdene. Hensynene bak bestemmelsen anses derfor ikke vesentlig tilsidesatt.</w:t>
              </w:r>
            </w:p>
            <w:p>
              <w:pPr>
                <w:spacing w:after="160"/>
              </w:pPr>
              <w:r>
                <w:t xml:space="preserve">I tillegg skal fordelene ved å gi dispensasjon være klart større enn ulempene.</w:t>
              </w:r>
            </w:p>
            <w:p>
              <w:pPr>
                <w:spacing w:after="160"/>
              </w:pPr>
              <w:r>
                <w:t xml:space="preserve">Nabo har ikke gitt samtykke til plassering nærmere nabogrensen enn lovens hovedregel, og har uttrykkelig motsatt seg tiltaket. En dispensasjon i dette tilfellet vurderes å svekke hensynet til forutsigbarheten bak avstandskravet. I tillegg vil innglassing kunne legge til rette for økt bruk av svalgangen og dermed økt aktivitet nær nabogrensen til ulempe for naboeiendommen. Videre kan tiltaket svekke brukskvaliteten på uteoppholdsarealet.  </w:t>
              </w:r>
            </w:p>
            <w:p>
              <w:pPr>
                <w:spacing w:after="160"/>
              </w:pPr>
              <w:r>
                <w:t xml:space="preserve">Det forhold at ulempene for naboene er beskjedne vil ikke være et selvstendig argument for at dispensasjon skal gis. Tiltakshaver må kunne påvise relevante fordeler ved dispensasjon. En slikfordel må være tilstrekkelig spesifisert og klart angitt og ligge innenfor de rammene pbl. setter, jf. uttalelser fra Sivilombudet i sak 2009/1336 og sak 2011/1023.</w:t>
              </w:r>
            </w:p>
            <w:p>
              <w:pPr>
                <w:spacing w:after="160"/>
              </w:pPr>
              <w:r>
                <w:t xml:space="preserve">Fordelene ved tiltaket er i hovedsak av privat karakter og knytter seg til tiltakshavers bruk av egen eiendom. Kommunen finner at disse fordelene ikke klart oppveier ulempene for naboen. Etter en samlet vurdering er vilkårene for dispensasjon ikke oppfylt.</w:t>
              </w:r>
            </w:p>
            <w:p>
              <w:pPr>
                <w:spacing w:after="160"/>
              </w:pPr>
              <w:r>
                <w:t xml:space="preserve"> </w:t>
              </w:r>
            </w:p>
            <w:p>
              <w:pPr>
                <w:spacing w:after="160"/>
              </w:pPr>
              <w:r>
                <w:t xml:space="preserve"> </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 Søknad 20.11.2025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1.1 Gjenpart av nabovarsel 20.11.2025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2. Nabomerknader til nabovarsel 04.12.2025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2.1. Nabomerknader 23.11.2025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2.2. Vedlagte bilder</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3. Søknad om dispensasjon 22.01.2026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3.1. Vedlegg til søknad om dispensasjon - Bilder 22.01.2026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3.2. Vedlegg til søknad om dispensasjon - Spørsmål om søknadsplikt 18.02.2026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3.2.1. Svalgang</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3.2.2. Svalgang</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3.3. Svar på henvendelse om søknadsplikt 03.03.2026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4. Avslag på dispensasjon om fasadeendring 16.03.2026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5. Klage på vedtak - Avslag på dispensasjon 27.03.2026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6. Vedtak om godkjenning av bl.a. svalgang 12.07.2007</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image" Target="/media/image.jpg" Id="R726d20ed943f4f8a" /><Relationship Type="http://schemas.openxmlformats.org/officeDocument/2006/relationships/image" Target="/media/image2.jpg" Id="R3d9b574d92a440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Klagebehandling - Gbnr. 81/83, Skipsbakken 14 - Fasadeendring</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