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26/3914</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5</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Maren S. Vrålstad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04.05.2026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Klagebehandling - Gbnr. 200/2169, Osebakken - Endret plassering av brakke</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   Klagen tas ikke til følge. Vedtak av 11.03.26 i sak 162/26 opprettholdes.</w:t>
              </w:r>
            </w:p>
            <w:p>
              <w:pPr>
                <w:pStyle w:val="ListParagraph"/>
                <w:numPr>
                  <w:ilvl w:val="0"/>
                  <w:numId w:val="1"/>
                </w:numPr>
                <w:spacing w:after="160"/>
              </w:pPr>
              <w:r>
                <w:t xml:space="preserve">   Saken oversendes Statsforvalteren i Vestfold og Telemark for endelig avgjørelse.</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Kort om saken</w:t>
              </w:r>
            </w:p>
            <w:p>
              <w:pPr>
                <w:spacing w:after="160"/>
              </w:pPr>
              <w:r>
                <w:t xml:space="preserve">Saken gjelder dispensasjon for endret plassering av eksisterende brakke som fungerer som klubbhus tilknyttet drift av småbåtanlegg på gbnr. 200/2169 ved Osebakken. Brakka flyttes for å realisere turvegen langs elva.</w:t>
              </w:r>
            </w:p>
            <w:p>
              <w:pPr>
                <w:spacing w:after="160"/>
              </w:pPr>
              <w:r>
                <w:t xml:space="preserve">Vedtaket er påklaget av nabo Thor Norling. Det anføres at vilkårene for dispensasjon etter pbl. § 19‑2 ikke er oppfylt. Dette begrunnes bl.a. i at alternative plasseringer burde vært valgt da plasseringen er visuelt skjemmende og oppleves privatiserende langs turvei og elv.</w:t>
              </w:r>
            </w:p>
            <w:p>
              <w:pPr>
                <w:spacing w:after="160"/>
              </w:pPr>
              <w:r>
                <w:t xml:space="preserve">Kommunen mener at vilkårene for dispensasjon fra kommuneplanens byggegrense langs elva og reguleringsplanens arealformål småbåtanlegg i dette tilfellet er oppfylt. Dette begrunnes i at tiltaket er av begrenset omfang, i samsvar med planens intensjon og ikke medfører vesentlige ulemper for allmenne interesser eller omgivelsene.</w:t>
              </w:r>
            </w:p>
            <w:p>
              <w:pPr>
                <w:spacing w:after="160"/>
              </w:pPr>
              <w:r>
                <w:t xml:space="preserve">Kommunedirektøren kan ikke se at det fremkommer opplysninger i klagen som tilsier et annet resultat. Det innstilles på at vedtaket opprettholdes.</w:t>
              </w:r>
            </w:p>
          </w:sdtContent>
        </w:sdt>
        <w:sdt>
          <w:sdtPr>
            <w:alias w:val="SaksTekst"/>
            <w:tag w:val="SaksTekst"/>
            <w:id w:val="-1309477531"/>
          </w:sdtPr>
          <w:sdtContent>
            <w:p>
              <w:pPr>
                <w:spacing w:after="160"/>
              </w:pPr>
              <w:r>
                <w:t xml:space="preserve"> </w:t>
              </w:r>
            </w:p>
            <w:p>
              <w:pPr>
                <w:spacing w:after="160"/>
              </w:pPr>
              <w:r>
                <w:rPr>
                  <w:b/>
                </w:rPr>
                <w:t xml:space="preserve">Planstatus</w:t>
              </w:r>
            </w:p>
            <w:p>
              <w:pPr>
                <w:spacing w:after="160"/>
              </w:pPr>
              <w:r>
                <w:t xml:space="preserve">Området er i reguleringsplan for turveg langs Porsgrunnselva av 21.04.20 regulert til småbåtanlegg i sjø og vassdrag med hensynssone for flomfare.</w:t>
              </w:r>
            </w:p>
            <w:p>
              <w:pPr>
                <w:spacing w:after="160"/>
              </w:pPr>
              <w:r>
                <w:t xml:space="preserve"> Plankartet ble senere vedtatt endret, 23.11.22.</w:t>
              </w:r>
            </w:p>
            <w:p>
              <w:pPr>
                <w:spacing w:after="160"/>
              </w:pPr>
              <w:r>
                <w:drawing>
                  <wp:inline distT="0" distB="0" distL="0" distR="0">
                    <wp:extent cx="4467225" cy="161925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7a4175010eb84917"/>
                            <a:srcRect/>
                            <a:stretch>
                              <a:fillRect/>
                            </a:stretch>
                          </pic:blipFill>
                          <pic:spPr bwMode="auto">
                            <a:xfrm>
                              <a:off x="0" y="0"/>
                              <a:ext cx="4467225" cy="1619250"/>
                            </a:xfrm>
                            <a:prstGeom prst="rect">
                              <a:avLst/>
                            </a:prstGeom>
                          </pic:spPr>
                        </pic:pic>
                      </a:graphicData>
                    </a:graphic>
                  </wp:inline>
                </w:drawing>
              </w:r>
            </w:p>
            <w:p>
              <w:pPr>
                <w:spacing w:after="160"/>
              </w:pPr>
              <w:r>
                <w:t xml:space="preserve">I bestemmelsene til kommuneplanens arealdel pkt. 1.4.3.2 er det bestemt følgende, jf. plan- og bygningsloven (pbl.) § 1-8 femte ledd: </w:t>
              </w:r>
              <w:r>
                <w:rPr>
                  <w:i/>
                </w:rPr>
                <w:t xml:space="preserve">«Langs Porsgrunnselva tillates ikke byggetiltak nærmere vassdraget enn 20 meter.»</w:t>
              </w:r>
            </w:p>
            <w:p>
              <w:pPr>
                <w:spacing w:after="160"/>
              </w:pPr>
              <w:r>
                <w:t xml:space="preserve">Rettsvirkningene av kommuneplanens arealdel og reguleringsplanen framgår av pbl. §§ 11-6 og 12-4. Ifølge annet ledd må ikke tiltak være i strid med planens arealformål eller bestemmelser.</w:t>
              </w:r>
            </w:p>
            <w:p>
              <w:pPr>
                <w:spacing w:after="160"/>
              </w:pPr>
              <w:r>
                <w:t xml:space="preserve"> </w:t>
              </w:r>
            </w:p>
            <w:p>
              <w:pPr>
                <w:spacing w:after="160"/>
              </w:pPr>
              <w:r>
                <w:rPr>
                  <w:b/>
                </w:rPr>
                <w:t xml:space="preserve">Saksfremstilling</w:t>
              </w:r>
            </w:p>
            <w:p>
              <w:pPr>
                <w:spacing w:after="160"/>
              </w:pPr>
              <w:r>
                <w:t xml:space="preserve">Den 08.12.25 søkte ansvarlig søker Norconsult AS, på vegne av tiltakshaver og grunneier Porsgrunn kommune v/Kommunalteknikk, om dispensasjon for endret plassering av eksisterende brakke beliggende langs elva ved Osebakken. Supplerende dokumentasjon ble mottatt 22.01.2026 og 02.02.2026.</w:t>
              </w:r>
            </w:p>
            <w:p>
              <w:pPr>
                <w:spacing w:after="160"/>
              </w:pPr>
              <w:r>
                <w:t xml:space="preserve">Dagens plassering av brakka er godkjent i vedtak av 23.11.94 i sak 370/94. Brakka har et bruksareal (BRA) på 18 m² og benyttes av Bråten båtforening til drift av småbåtanlegg, samt til lagring av utstyr og møter knyttet til driften (klubbhus). Det fremgår av søknaden at brakka står på lecablokker og at det ikke skal gjøres tiltak i grunnen i forbindelse med tiltaket.</w:t>
              </w:r>
            </w:p>
            <w:p>
              <w:pPr>
                <w:spacing w:after="160"/>
              </w:pPr>
              <w:r>
                <w:drawing>
                  <wp:inline distT="0" distB="0" distL="0" distR="0">
                    <wp:extent cx="5334000" cy="1828800"/>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d50ad1e4c7ca473a"/>
                            <a:srcRect/>
                            <a:stretch>
                              <a:fillRect/>
                            </a:stretch>
                          </pic:blipFill>
                          <pic:spPr bwMode="auto">
                            <a:xfrm>
                              <a:off x="0" y="0"/>
                              <a:ext cx="5334000" cy="1828800"/>
                            </a:xfrm>
                            <a:prstGeom prst="rect">
                              <a:avLst/>
                            </a:prstGeom>
                          </pic:spPr>
                        </pic:pic>
                      </a:graphicData>
                    </a:graphic>
                  </wp:inline>
                </w:drawing>
              </w:r>
            </w:p>
            <w:p>
              <w:pPr>
                <w:spacing w:after="160"/>
              </w:pPr>
              <w:r>
                <w:drawing>
                  <wp:inline distT="0" distB="0" distL="0" distR="0">
                    <wp:extent cx="4724400" cy="2352675"/>
                    <wp:effectExtent l="19050" t="0" r="0" b="0"/>
                    <wp:docPr id="6"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e3542411e35a452b"/>
                            <a:srcRect/>
                            <a:stretch>
                              <a:fillRect/>
                            </a:stretch>
                          </pic:blipFill>
                          <pic:spPr bwMode="auto">
                            <a:xfrm>
                              <a:off x="0" y="0"/>
                              <a:ext cx="4724400" cy="2352675"/>
                            </a:xfrm>
                            <a:prstGeom prst="rect">
                              <a:avLst/>
                            </a:prstGeom>
                          </pic:spPr>
                        </pic:pic>
                      </a:graphicData>
                    </a:graphic>
                  </wp:inline>
                </w:drawing>
              </w:r>
            </w:p>
            <w:p>
              <w:pPr>
                <w:spacing w:after="160"/>
              </w:pPr>
              <w:r>
                <w:t xml:space="preserve">I 2022 ble turvegen omregulert til å gå der hvor klubbhuset står i dag. For å realisere turvegen i henhold til regulert plassering må klubbhuset flyttes. Det søkes om å flytte brakka ca. 4,5 meter mot elva.</w:t>
              </w:r>
            </w:p>
            <w:p>
              <w:pPr>
                <w:spacing w:after="160"/>
              </w:pPr>
              <w:r>
                <w:drawing>
                  <wp:inline distT="0" distB="0" distL="0" distR="0">
                    <wp:extent cx="4210050" cy="2600325"/>
                    <wp:effectExtent l="19050" t="0" r="0" b="0"/>
                    <wp:docPr id="7"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1bea85c0a77f4060"/>
                            <a:srcRect/>
                            <a:stretch>
                              <a:fillRect/>
                            </a:stretch>
                          </pic:blipFill>
                          <pic:spPr bwMode="auto">
                            <a:xfrm>
                              <a:off x="0" y="0"/>
                              <a:ext cx="4210050" cy="2600325"/>
                            </a:xfrm>
                            <a:prstGeom prst="rect">
                              <a:avLst/>
                            </a:prstGeom>
                          </pic:spPr>
                        </pic:pic>
                      </a:graphicData>
                    </a:graphic>
                  </wp:inline>
                </w:drawing>
              </w:r>
            </w:p>
            <w:p>
              <w:pPr>
                <w:spacing w:after="160"/>
              </w:pPr>
              <w:r>
                <w:t xml:space="preserve">Søker argumenterer for dispensasjon fra kommuneplanens byggegrense og reguleringsplanens arealformål på følgende måte:</w:t>
              </w:r>
            </w:p>
            <w:p>
              <w:pPr>
                <w:spacing w:after="160"/>
              </w:pPr>
              <w:r>
                <w:rPr>
                  <w:i/>
                </w:rPr>
                <w:t xml:space="preserve">«Hensynet bak byggegrensen langs elven er å holde elvebredden fri for bebyggelse, og sikre allmenheten tilgang. I dette tilfellet flyttes bygget med den hensikt at allmennheten skal få tilgang til området på en regulert turveg.</w:t>
              </w:r>
            </w:p>
            <w:p>
              <w:pPr>
                <w:spacing w:after="160"/>
              </w:pPr>
              <w:r>
                <w:rPr>
                  <w:i/>
                </w:rPr>
                <w:t xml:space="preserve">Visuelt sett vil den justerte plasseringen ha liten konsekvens. Det er ingen endringer på bygningen – kun plasseringen. Fordi flyttingen av bygget bedrer allmenhetens fremkommelighet, og bygget ellers ikke fremstår privatiserende, settes ikke hensynet bak bestemmelsen vesentlig til side.</w:t>
              </w:r>
            </w:p>
            <w:p>
              <w:pPr>
                <w:spacing w:after="160"/>
              </w:pPr>
              <w:r>
                <w:rPr>
                  <w:i/>
                </w:rPr>
                <w:t xml:space="preserve">Fordelen er at turvegen får en mer optimal plassering, i samsvar med reguleringsplanen. Vi kan ikke se at den justerte plasseringen medfører noen ulempe i forhold til hensynet bak bestemmelsen. Vi mener vilkårene for dispensasjon er oppfylt.</w:t>
              </w:r>
            </w:p>
            <w:p>
              <w:pPr>
                <w:spacing w:after="160"/>
              </w:pPr>
              <w:r>
                <w:rPr>
                  <w:i/>
                </w:rPr>
                <w:t xml:space="preserve">Klubbhuset ligger på areal avsatt til småbåtanlegg og benyttes til lager og møter for båtforeningen. Planformålet småbåtanlegg brukes i kommune- og reguleringsplaner for å regulere områder som er avsatt til båtliv, lagring, adkomst og drift av mindre fritidsbåter.</w:t>
              </w:r>
            </w:p>
            <w:p>
              <w:pPr>
                <w:spacing w:after="160"/>
              </w:pPr>
              <w:r>
                <w:rPr>
                  <w:i/>
                </w:rPr>
                <w:t xml:space="preserve">Selv om klubbhus/lager ikke er listet opp i tiltak som er tillatt i området har et slikt lager, og sted for møter en nær tilknytning til planformålet. Det er også tidligere gitt godkjenning for bygget. Tiltaket hindrer ikke bruken av området til sitt avsatte formål. Det tvert imot fremmer brukbarheten av området til det avsatte formålet – småbåthavn. Fordi bygget har en direkte tilknytning til planformålet settes ikke hensynet bak planformålet til side.</w:t>
              </w:r>
            </w:p>
            <w:p>
              <w:pPr>
                <w:spacing w:after="160"/>
              </w:pPr>
              <w:r>
                <w:rPr>
                  <w:i/>
                </w:rPr>
                <w:t xml:space="preserve">Fordelen er at båtforeningen kan lagre utstyr for driften av småbåtanlegget, og ha et sted for møter angående driften. Vi kan ikke se at bygget har noen ulemper sett opp mot planformålet, og fordelene med tiltaket er klart større enn ulempene.»</w:t>
              </w:r>
            </w:p>
            <w:p>
              <w:pPr>
                <w:spacing w:after="160"/>
              </w:pPr>
              <w:r>
                <w:t xml:space="preserve">Dispensasjonssøknaden er nabovarslet. Det foreligger merknader fra nabo Thor Norling som mener at den nye plasseringen vil forringe landskapsopplevelsen og utsynet mot elva langs turstien, samt at flyttingen av brakka er søknadspliktig tiltak etter plan- og bygningsloven og er i strid med planformålet.</w:t>
              </w:r>
            </w:p>
            <w:p>
              <w:pPr>
                <w:spacing w:after="160"/>
              </w:pPr>
              <w:r>
                <w:t xml:space="preserve">Søker svarer ut merknaden på følgende måte:</w:t>
              </w:r>
            </w:p>
            <w:p>
              <w:pPr>
                <w:spacing w:after="160"/>
              </w:pPr>
              <w:r>
                <w:rPr>
                  <w:i/>
                </w:rPr>
                <w:t xml:space="preserve">«Turvegens plassering er valgt å unngå behov for å fylle ut i elva. Plasseringen av turvegen kommer da i konflikt med eksisterende plassering av klubbhuset. Det medfører derfor ikke riktighet at den justerte plasseringen av klubbhuset er ubegrunnet. Det er vurdert alternative plasseringer – blant annet i bakkant av eiendommen. Der vil den imidlertid komme i konflikt med eksisterende infrastruktur i bakken, og den kan derfor ikke plasseres der. En annen plassering på området vil redusere arealet for opplag av båter, og er heller ikke ønskelig. Det blir ikke ny grunnmur. Eksisterende lecablokker flyttes. Klubbhuset er i dag koblet til strøm, og det kan senere bli aktuelt med vann, da sannsynligvis til veggen….</w:t>
              </w:r>
            </w:p>
            <w:p>
              <w:pPr>
                <w:spacing w:after="160"/>
              </w:pPr>
              <w:r>
                <w:rPr>
                  <w:i/>
                </w:rPr>
                <w:t xml:space="preserve">…..Bygget er lovlig plassert i dag og alternativ plassering er direkte forutsatt i planbeskrivelsen. Fordelen er at klubbhuset ikke blir liggende i turvegen, og at fremkommeligheten for allmennheten sikres.</w:t>
              </w:r>
            </w:p>
            <w:p>
              <w:pPr>
                <w:spacing w:after="160"/>
              </w:pPr>
              <w:r>
                <w:rPr>
                  <w:i/>
                </w:rPr>
                <w:t xml:space="preserve">Forskyvningen av plasseringen medfører ingen ulemper for planformålet eller annet. Tiltaket medfører ingen endring i den bestående situasjonen, utover at bygget forskyves noen meter.»</w:t>
              </w:r>
            </w:p>
            <w:p>
              <w:pPr>
                <w:spacing w:after="160"/>
              </w:pPr>
              <w:r>
                <w:t xml:space="preserve">I kommunens vedtak av 11.03.26, sak 162/26, ble søknad om dispensasjon for endret plassering av brakke innvilget med følgende begrunnelse:</w:t>
              </w:r>
            </w:p>
            <w:p>
              <w:pPr>
                <w:spacing w:after="160"/>
              </w:pPr>
              <w:r>
                <w:rPr>
                  <w:i/>
                  <w:u w:val="single"/>
                </w:rPr>
                <w:t xml:space="preserve">«Byggegrense langs vann og vassdrag</w:t>
              </w:r>
            </w:p>
            <w:p>
              <w:pPr>
                <w:spacing w:after="160"/>
              </w:pPr>
              <w:r>
                <w:rPr>
                  <w:i/>
                </w:rPr>
                <w:t xml:space="preserve">Hensynene bak byggegrensen er generelt å ivareta naturverdier, landskap, kulturminner og friluftsinteresser, jf. pkt. 1.4.3.1 i kommuneplanens bestemmelser og pbl § 1-8 første ledd.</w:t>
              </w:r>
            </w:p>
            <w:p>
              <w:pPr>
                <w:spacing w:after="160"/>
              </w:pPr>
              <w:r>
                <w:rPr>
                  <w:i/>
                </w:rPr>
                <w:t xml:space="preserve">Kommunen kan ikke se at endret plassering av brakken vil ha vesentlig innvirkning på de hensyn byggegrensen skal ivareta, da det er snakk om en mindre forskyvning fra dagens plassering og 4 meter mot elva. Videre skal det ikke gjøres inngrep i grunnen i tilknytning til flytting av brakka, da den står på leca-blokker. Det er også vurdert alternative plasseringer som enten er i konflikt med VA-ledninger i grunn eller som vil begrense arealet for båtopplag. Hensynet anses ikke for vesentlig tilsidesatt i dette tilfellet.</w:t>
              </w:r>
            </w:p>
            <w:p>
              <w:pPr>
                <w:spacing w:after="160"/>
              </w:pPr>
              <w:r>
                <w:rPr>
                  <w:i/>
                </w:rPr>
                <w:t xml:space="preserve">Det kreves i tillegg at fordelene veies opp mot ulempene. Det er i første rekke samfunnsmessige fordeler av planfaglig og arealdisponeringsmessig karakter, det er snakk om i denne sammenheng.</w:t>
              </w:r>
            </w:p>
            <w:p>
              <w:pPr>
                <w:spacing w:after="160"/>
              </w:pPr>
              <w:r>
                <w:rPr>
                  <w:i/>
                </w:rPr>
                <w:t xml:space="preserve">Ulempene ved tiltaket er at brakken flyttes nærmere elva enn den står i dag, fordi området langs elva i utgangspunktet skal være fri for bebyggelse og tilgjengelig for allmenheten. Det legges derfor avgjørende vekt på fordelen ved at turvegen kan etableres slik den er regulert og at det tilrettelegges for allmenhetens bruk. Det er også forutsatt i planarbeidet at brakka flyttes fra turvegtraséen.</w:t>
              </w:r>
            </w:p>
            <w:p>
              <w:pPr>
                <w:spacing w:after="160"/>
              </w:pPr>
              <w:r>
                <w:rPr>
                  <w:i/>
                  <w:u w:val="single"/>
                </w:rPr>
                <w:t xml:space="preserve">Arealformål Småbåtanlegg i sjø og vassdrag</w:t>
              </w:r>
            </w:p>
            <w:p>
              <w:pPr>
                <w:spacing w:after="160"/>
              </w:pPr>
              <w:r>
                <w:rPr>
                  <w:i/>
                </w:rPr>
                <w:t xml:space="preserve">Hensynet bak formålet småbåtanlegg i sjø og vassdrag er å sette av nødvendig areal for bruk av vassdraget til småbåtvirksomhet.</w:t>
              </w:r>
            </w:p>
            <w:p>
              <w:pPr>
                <w:spacing w:after="160"/>
              </w:pPr>
              <w:r>
                <w:rPr>
                  <w:i/>
                </w:rPr>
                <w:t xml:space="preserve">Klubbhuset fungerer i dag som et møtested og lager for båtforeningens medlemmer og fungerer som en del av driften av småbåtanlegget.</w:t>
              </w:r>
            </w:p>
            <w:p>
              <w:pPr>
                <w:spacing w:after="160"/>
              </w:pPr>
              <w:r>
                <w:rPr>
                  <w:i/>
                </w:rPr>
                <w:t xml:space="preserve">Kommunen kan ikke se at endringen medfører reduksjon i tilgjengelighet til brygger eller båtplasser, og at det heller ikke påvirker manøvreringsarealer eller ferdsel i havneområdet. Tiltaket innebærer derfor ingen endring i hvordan området brukes eller oppleves i forhold til formålet. Kommunen mener derfor ikke hensynet blir vesentlig tilsidesatt i dette tilfellet.</w:t>
              </w:r>
            </w:p>
            <w:p>
              <w:pPr>
                <w:spacing w:after="160"/>
              </w:pPr>
              <w:r>
                <w:rPr>
                  <w:i/>
                </w:rPr>
                <w:t xml:space="preserve">Det kreves i tillegg at fordelene veies opp mot ulempene. Det er i første rekke samfunnsmessige fordeler av planfaglig og arealdisponeringsmessig karakter, det er snakk om i denne sammenheng.</w:t>
              </w:r>
            </w:p>
            <w:p>
              <w:pPr>
                <w:spacing w:after="160"/>
              </w:pPr>
              <w:r>
                <w:rPr>
                  <w:i/>
                </w:rPr>
                <w:t xml:space="preserve">Siden det i dette tilfellet ikke fremkommer ulemper av betydning, mener kommunen at det er grunn til å stille lavere krav til de fordeler dispensasjonen må innebære. Kommunen vektlegger at ny plassering tilrettelegger for videre bruk av klubbhuset.</w:t>
              </w:r>
            </w:p>
            <w:p>
              <w:pPr>
                <w:spacing w:after="160"/>
              </w:pPr>
              <w:r>
                <w:rPr>
                  <w:i/>
                  <w:u w:val="single"/>
                </w:rPr>
                <w:t xml:space="preserve">Konklusjon</w:t>
              </w:r>
            </w:p>
            <w:p>
              <w:pPr>
                <w:spacing w:after="160"/>
              </w:pPr>
              <w:r>
                <w:rPr>
                  <w:i/>
                </w:rPr>
                <w:t xml:space="preserve">Vilkårene for å gi dispensasjon etter pbl. § 19-2 fra kommuneplanens byggegrense og arealformål småbåtanlegg langs sjø og vassdrag anses oppfylt.»</w:t>
              </w:r>
            </w:p>
            <w:p>
              <w:pPr>
                <w:spacing w:after="160"/>
              </w:pPr>
              <w:r>
                <w:t xml:space="preserve">I vedtak av 11.03.26, sak 181/26, ga kommunen byggetillatelse til tiltaket.</w:t>
              </w:r>
            </w:p>
            <w:p>
              <w:pPr>
                <w:spacing w:after="160"/>
              </w:pPr>
              <w:r>
                <w:t xml:space="preserve">Vedtaket er påklaget av nabo Thor Norling. Klager anfører at vilkårene for dispensasjon etter pbl. § 19‑2 ikke er oppfylt. Dette begrunnes bl.a. i at alternative plasseringer burde vært valgt da plasseringen er visuelt skjemmende, oppleves privatiserende langs turvei og elv og kan være til hinder for bruk av service- og beredskapsbrygge.</w:t>
              </w:r>
            </w:p>
            <w:p>
              <w:pPr>
                <w:spacing w:after="160"/>
              </w:pPr>
              <w:r>
                <w:t xml:space="preserve">Ansvarlig søker, Norconsult AS, har innsendt tilsvar til klagen ved brev av 05.05.26.</w:t>
              </w:r>
            </w:p>
            <w:p>
              <w:pPr>
                <w:spacing w:after="160"/>
              </w:pPr>
              <w:r>
                <w:t xml:space="preserve"> </w:t>
              </w:r>
            </w:p>
            <w:p>
              <w:pPr>
                <w:spacing w:after="160"/>
              </w:pPr>
              <w:r>
                <w:rPr>
                  <w:b/>
                </w:rPr>
                <w:t xml:space="preserve">Kommunedirektørens vurdering</w:t>
              </w:r>
            </w:p>
            <w:p>
              <w:pPr>
                <w:spacing w:after="160"/>
              </w:pPr>
              <w:r>
                <w:t xml:space="preserve">Tiltakshaver er part med klagerett, jf. forvaltningsloven (fvl.) § 28 første ledd. Klagen er rettidig fremsatt, jf. fvl. § 29 første ledd.</w:t>
              </w:r>
            </w:p>
            <w:p>
              <w:pPr>
                <w:spacing w:after="160"/>
              </w:pPr>
              <w:r>
                <w:t xml:space="preserve">De relevante påstandene i klagen er vurdert, men kommunedirektøren kan ikke se at disse inneholder opplysninger som tilsier endring av vedtaket. Det er likevel grunn til å påpeke:</w:t>
              </w:r>
            </w:p>
            <w:p>
              <w:pPr>
                <w:spacing w:after="160"/>
              </w:pPr>
              <w:r>
                <w:t xml:space="preserve">Søknaden om flytting av brakka er i strid med kommuneplanens byggegrense og reguleringsplanens arealformål. Tillatelse krever følgelig dispensasjon etter pbl. § 19-2.</w:t>
              </w:r>
            </w:p>
            <w:p>
              <w:pPr>
                <w:spacing w:after="160"/>
              </w:pPr>
              <w:r>
                <w:t xml:space="preserve">Dispensasjon kan bare gis dersom hensynene bak bestemmelsen det dispenseres fra, hensynene i lovens formålsbestemmelse eller nasjonale eller regionale interesser, ikke blir vesentlig tilsidesatt. I tillegg skal fordelene ved å gi dispensasjon være klart større enn ulempene.</w:t>
              </w:r>
            </w:p>
            <w:p>
              <w:pPr>
                <w:spacing w:after="160"/>
              </w:pPr>
              <w:r>
                <w:t xml:space="preserve">Hensynene bak </w:t>
              </w:r>
              <w:r>
                <w:rPr>
                  <w:u w:val="single"/>
                </w:rPr>
                <w:t xml:space="preserve">kommuneplanens byggegrense</w:t>
              </w:r>
              <w:r>
                <w:t xml:space="preserve"> langs vann og vassdrag er generelt å ivareta naturverdier, landskap, kulturminner og friluftsinteresser, jf. pkt. 1.4.3.1 i kommuneplanens bestemmelser og pbl. § 1-8 første ledd.</w:t>
              </w:r>
            </w:p>
            <w:p>
              <w:pPr>
                <w:spacing w:after="160"/>
              </w:pPr>
              <w:r>
                <w:t xml:space="preserve">Det skal mye til for å fravike byggegrensen langs elva. Arealplaner er undergitt en omfattende beslutningsprosess der så vel offentlige som private interesser har mulighet til å delta. Det skal derfor ikke være kurant for bygningsmyndighetene å fravike ved dispensasjon en arealplan som bystyret med bindende virkning har vedtatt.</w:t>
              </w:r>
            </w:p>
            <w:p>
              <w:pPr>
                <w:spacing w:after="160"/>
              </w:pPr>
              <w:r>
                <w:t xml:space="preserve">I denne saken søkes det dispensasjon fra byggegrensen for å endre plassering av en brakke for å legge til rette for etablering av regulert turveg. Turvegens trasé er regulert med sikte på å unngå behov for utfylling i elva, og den regulerte plasseringen kommer i konflikt med dagens plassering av brakka. Flyttingen av brakka er derfor begrunnet i behovet for å realisere turvegen i tråd med nyere vedtatt reguleringsplan.</w:t>
              </w:r>
            </w:p>
            <w:p>
              <w:pPr>
                <w:spacing w:after="160"/>
              </w:pPr>
              <w:r>
                <w:t xml:space="preserve">Kommunedirektøren kan ikke se at den nye plasseringen vil oppleves privatiserende eller være til hinder for allmenn ferdsel langs turvegen, ei heller endre områdets karakter eller bruk. Turvegen skal nettopp etableres for å ivareta allmennhetens tilgang til friluftsliv og rekreasjon langs elva. Selv om brakka flyttes nærmere elva privatiseres ikke elvefronten noe ytterligere enn dagens situasjon. Brakka har over tid inngått som en del av landskapsbildet langs elva, og ny plassering vil heller ikke medføre endret landskapsvirkning eller redusert utsyn mot elva.</w:t>
              </w:r>
            </w:p>
            <w:p>
              <w:pPr>
                <w:spacing w:after="160"/>
              </w:pPr>
              <w:r>
                <w:t xml:space="preserve">Siden det kun er snakk om en mindre forflytning på ca. 4,5 meter av en bygning som har stått på stedet i en årrekke, samt at det heller ikke gjøres fysiske endringer på bygget, fastholder kommunedirektøren vurderingen om at hensynene bak bestemmelsen om byggegrense ikke blir vesentlig tilsidesatt.</w:t>
              </w:r>
            </w:p>
            <w:p>
              <w:pPr>
                <w:spacing w:after="160"/>
              </w:pPr>
              <w:r>
                <w:t xml:space="preserve">Hensynet bak </w:t>
              </w:r>
              <w:r>
                <w:rPr>
                  <w:u w:val="single"/>
                </w:rPr>
                <w:t xml:space="preserve">arealformålet småbåtanlegg i sjø og vassdrag</w:t>
              </w:r>
              <w:r>
                <w:t xml:space="preserve"> er å sette av nødvendig areal for bruk av vassdraget til småbåtvirksomhet.</w:t>
              </w:r>
            </w:p>
            <w:p>
              <w:pPr>
                <w:spacing w:after="160"/>
              </w:pPr>
              <w:r>
                <w:t xml:space="preserve">Brakka er nettopp et driftsrelatert bygg som benyttes til lagring av utstyr og organisering av aktivitet i småbåtanlegget for båtforeningens medlemmer.</w:t>
              </w:r>
            </w:p>
            <w:p>
              <w:pPr>
                <w:spacing w:after="160"/>
              </w:pPr>
              <w:r>
                <w:t xml:space="preserve">Kommunedirektøren mener derfor at hensynet bak planens arealformål og intensjon om effektiv og funksjonell bruk av området til båtrelaterte formål, ikke blir vesentlig tilsidesatt.</w:t>
              </w:r>
            </w:p>
            <w:p>
              <w:pPr>
                <w:spacing w:after="160"/>
              </w:pPr>
              <w:r>
                <w:t xml:space="preserve">Det er riktig at det ikke er tilstrekkelig for å innvilge dispensasjon at ulempene ved dispensasjonen eventuelt skulle være beskjedne. Kommunen har imidlertid ikke ment å anvende en lavere terskel enn lovens «klart større»-krav. Kommunen vurderer det slik at når ulempene er få/små, blir det lettere å komme til at fordelene likevel er klart større enn ulempene.</w:t>
              </w:r>
            </w:p>
            <w:p>
              <w:pPr>
                <w:spacing w:after="160"/>
              </w:pPr>
              <w:r>
                <w:t xml:space="preserve">I denne saken er det imidlertid påvist klare, konkrete og relevante fordeler, samtidig som ulempene er begrensede og ikke vesentlige. Det oppnås en funksjonell løsning for småbåtanlegget, ved at brakka plasseres slik at den kan brukes effektivt til drift, lagring og møter. Tiltaket muliggjør etablering av turvei til allmenn bruk, uten behov for ytterligere tiltak i elveområdet. Videre innebærer tiltaket verken økt arealbeslag eller økt volum sammenlignet med eksisterende brakke. Etter en samlet og konkret vurdering finner kommunedirektøren at fordelene ved dispensasjon er klart større enn ulempene i dette tilfellet.</w:t>
              </w:r>
            </w:p>
            <w:p>
              <w:pPr>
                <w:spacing w:after="160"/>
              </w:pPr>
              <w:r>
                <w:t xml:space="preserve">Når det gjelder klagers anførsel om at alternative plasseringer burde vært valgt, bemerker kommunedirektøren at alternative plasseringer er utredet av søker og vurdert av kommunen som del av saksbehandlingen. Det er vurdert plassering i bakkant av eiendommen, men denne løsningen lar seg ikke gjennomføre på grunn av konflikt med eksisterende infrastruktur i grunnen (bl.a. VA-ledninger) og tilhørende sikkerhets- og avstandskrav. Det er videre vurdert andre plasseringer innenfor området, men disse vil etter søkers opplysninger redusere nødvendig areal til opplag og drift av småbåtanlegget.</w:t>
              </w:r>
            </w:p>
            <w:p>
              <w:pPr>
                <w:spacing w:after="160"/>
              </w:pPr>
              <w:r>
                <w:t xml:space="preserve">Kommunedirektøren legger derfor til grunn at omsøkt plassering er valgt etter en reell vurdering av gjennomførbare alternativer.</w:t>
              </w:r>
            </w:p>
            <w:p>
              <w:pPr>
                <w:spacing w:after="160"/>
              </w:pPr>
              <w:r>
                <w:t xml:space="preserve">Vilkårene for å gi dispensasjon etter pbl. § 19-2 fra kommuneplanens byggegrense og arealformål småbåtanlegg i sjø og vassdrag anses oppfylt.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 Søknad om endring av gitt tillatelse eller godkjenning, 08.12.25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 Situasjonsplan - Landskapsplan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 Tillatelse eksisterende plassering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1.3 Søknad eksisterende plassering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1.4 Følgebrev</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1.5 Nabovarsel</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1.6 Kvittering for nabovarsel</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1.7 Nabomerknader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 Tilbakemelding på mottatt søknad, 20.01.26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 Supplering av søknad, 22.01.26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3.1 Gjenpart nabovarsel 2</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3.2 Supplering søknad dispensasjon planformål</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4. Merknad til nabovarsel og tilsvar, 02.02.26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4.1 Naboprotest 2</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5. Ingen uttalelse - Statsforvalteren, 17.02.26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6. Vedtak om dispensasjon, 11.03.26, sak 162/26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7. Vedtak om byggetillatelse, 11.03.26, sak 181/26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8. Klage på vedtak, 26.03.26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8.1 Klagebrev</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9. Tilsvar til klage, 05.05.26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 Reguleringsbestemmelser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10.1 Plankart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10.2 Plankart endring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 Kommuneplanens arealdel, bestemmelser og retningslinjer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11.1 Kommuneplanens arealdel, plankart</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8a810893daa4a76" /><Relationship Type="http://schemas.openxmlformats.org/officeDocument/2006/relationships/image" Target="/media/image.jpg" Id="R7a4175010eb84917" /><Relationship Type="http://schemas.openxmlformats.org/officeDocument/2006/relationships/image" Target="/media/image2.jpg" Id="Rd50ad1e4c7ca473a" /><Relationship Type="http://schemas.openxmlformats.org/officeDocument/2006/relationships/image" Target="/media/image3.jpg" Id="Re3542411e35a452b" /><Relationship Type="http://schemas.openxmlformats.org/officeDocument/2006/relationships/image" Target="/media/image4.jpg" Id="R1bea85c0a77f40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Klagebehandling - Gbnr. 200/2169, Osebakken - Endret plassering av brakke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