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26/5515</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Heidi Gule</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07.05.2026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Status sykefravær i Porsgrunn kommune, 1.kvartal 2026</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Saken tas til orientering.</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Denne orienteringssaken legges frem med bakgrunn i følgende vedtak i sak 06/26 Oppdatert rutine for økonomirapportering til formannskapet i Formannskapet 29.01.2026:</w:t>
              </w:r>
            </w:p>
            <w:p>
              <w:pPr>
                <w:spacing w:after="160"/>
              </w:pPr>
              <w:r>
                <w:rPr>
                  <w:i/>
                </w:rPr>
                <w:t xml:space="preserve">1. Orienteringssak om sykefravær legges frem hvert kvartal, i formannskap og administrasjonsutvalg Det skilles mellom egenmeldt og legemeldt fravær. </w:t>
              </w:r>
            </w:p>
            <w:p>
              <w:pPr>
                <w:spacing w:after="160"/>
              </w:pPr>
              <w:r>
                <w:t xml:space="preserve"> </w:t>
              </w:r>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rPr>
                  <w:b/>
                </w:rPr>
                <w:t xml:space="preserve">Sykefravær – symptom og strategisk innsatsområde</w:t>
              </w:r>
            </w:p>
            <w:p>
              <w:pPr>
                <w:spacing w:after="160"/>
              </w:pPr>
              <w:r>
                <w:t xml:space="preserve">Nivå på sykefravær i en organisasjon kan være et sentralt symptom på hvordan arbeidshverdagen, arbeidsmiljøet og organiseringen av tjenestene fungerer. </w:t>
              </w:r>
              <w:r>
                <w:br/>
              </w:r>
              <w:r>
                <w:t xml:space="preserve">Som både NAV og KS peker på, påvirkes sykefraværet av sammensatte forhold knyttet til arbeidsbelastning, organisering av oppgaver, ledelse, partssamarbeid og det systematiske HMS-arbeidet på arbeidsplassen.</w:t>
              </w:r>
            </w:p>
            <w:p>
              <w:pPr>
                <w:spacing w:after="160"/>
              </w:pPr>
              <w:r>
                <w:t xml:space="preserve">I Porsgrunn kommune er innsatsen derfor rettet mot ulike forhold og er del av et </w:t>
              </w:r>
              <w:r>
                <w:rPr>
                  <w:b/>
                </w:rPr>
                <w:t xml:space="preserve">langsiktig og forebyggende arbeid</w:t>
              </w:r>
              <w:r>
                <w:t xml:space="preserve">, særlig gjennom:</w:t>
              </w:r>
            </w:p>
            <w:p>
              <w:pPr>
                <w:pStyle w:val="ListParagraph"/>
                <w:numPr>
                  <w:ilvl w:val="0"/>
                  <w:numId w:val="1"/>
                </w:numPr>
                <w:spacing w:after="160"/>
              </w:pPr>
              <w:r>
                <w:rPr>
                  <w:b/>
                </w:rPr>
                <w:t xml:space="preserve">Systematisk HMS-arbeid og internkontroll</w:t>
              </w:r>
              <w:r>
                <w:t xml:space="preserve">;</w:t>
              </w:r>
              <w:r>
                <w:br/>
              </w:r>
              <w:r>
                <w:t xml:space="preserve">Vi har i 2025 opprettet lokale HMS- og kvalitetsutvalg i alle avdelinger/enheter, vi har heldags nettverkssamlinger for alle verneombud 2 ganger i året, vi har årlig lovpålagt 40t kurs for AMU og ledere, vi har årlige vernerunder, arbeidsmiljøundersøkelser annet hvert år, internrevisjoner, risikovurderinger og oppfølging av avvik, det gjennomføres årlige medarbeiderundersøkelser, vi jobber med utvikling av ny modell for ledelsens gjennomgang, og alle prosedyrer kommer det varsel på for revisjonsdatoer i kvalitetssystemet.</w:t>
              </w:r>
            </w:p>
            <w:p>
              <w:pPr>
                <w:pStyle w:val="ListParagraph"/>
                <w:numPr>
                  <w:ilvl w:val="0"/>
                  <w:numId w:val="1"/>
                </w:numPr>
                <w:spacing w:after="160"/>
              </w:pPr>
              <w:r>
                <w:rPr>
                  <w:b/>
                </w:rPr>
                <w:t xml:space="preserve">God organisering og prioritering av oppgaver:</w:t>
              </w:r>
              <w:r>
                <w:br/>
              </w:r>
              <w:r>
                <w:t xml:space="preserve">Det er gjennomført TØRN-prosjekter, vi har prosjekt med sykepleierteam og servicemedarbeidere, det jobbes med oppgavedeling/dreining mot forbedret turnus/årsturnus, det er satt igang pleieassistent kurs, oppfølging av arbeidsmiljøundersøkelsen 10-faktor fokuserer bl.a på faktorene rolleklarhet, mestringsorientert ledelse og autonomi som går på organisering og prioritering av oppgaver.</w:t>
              </w:r>
            </w:p>
            <w:p>
              <w:pPr>
                <w:pStyle w:val="ListParagraph"/>
                <w:numPr>
                  <w:ilvl w:val="0"/>
                  <w:numId w:val="1"/>
                </w:numPr>
                <w:spacing w:after="160"/>
              </w:pPr>
              <w:r>
                <w:rPr>
                  <w:b/>
                </w:rPr>
                <w:t xml:space="preserve">Tydelig ledelse og tett oppfølging av ansatte:</w:t>
              </w:r>
              <w:r>
                <w:br/>
              </w:r>
              <w:r>
                <w:t xml:space="preserve">Det er i 2025/26 gjort et grundig arbeid med å bygge en helhetlig lederkultur, styrke rolleforståelse og samhandling, og utvikle verdibasert og læringsorientert ledelse som bidrar til kvalitet og bærekraft i tjenestene. Lederutvikling har vært tema på alle Kommunedirektørens samlinger. Konkret i fht sykefravær og arbeidsmiljø så kjører vi jevnlig opplæring av ledere i "sykefraværsoppfølging fra A til Å", vi har dialog 1-1 med ledere om utfordrende sykefraværs-/personalsaker, og i tillegg har vi bl.a kurs i samtaleteknikk.</w:t>
              </w:r>
            </w:p>
            <w:p>
              <w:pPr>
                <w:pStyle w:val="ListParagraph"/>
                <w:numPr>
                  <w:ilvl w:val="0"/>
                  <w:numId w:val="1"/>
                </w:numPr>
                <w:spacing w:after="160"/>
              </w:pPr>
              <w:r>
                <w:rPr>
                  <w:b/>
                </w:rPr>
                <w:t xml:space="preserve">Organisasjonsutvikling og styrking av arbeidsmiljø og psykologisk trygghet:</w:t>
              </w:r>
              <w:r>
                <w:br/>
              </w:r>
              <w:r>
                <w:t xml:space="preserve">Som nevnt over så kjøres det arbeidsmiljøundersøkelser annethvert år, hvor det gjennomføres etterarbeid i den enkelte avdeling/enhet. Vi gjennomførte i januar en arbeidsrettskonferanse for ledere, hvor presiseringene i AML om psykososialt arbeidsmiljø ble viet ekstra oppmerksomhet, og vi gjennomførte en HMS-konferanse 7.mai for alle ledere, verneombud og amu-medlemmer hvor også dette var tema. Ellers brukes IA-verktøyene En bra dag på jobb, og Oss og vårt.</w:t>
              </w:r>
            </w:p>
            <w:p>
              <w:pPr>
                <w:spacing w:after="160"/>
              </w:pPr>
              <w:r>
                <w:t xml:space="preserve">Sykefraværsarbeidet er integrert i det ordinære leder og linjeansvaret og understøttes av HR, bedriftshelsetjeneste og samarbeid med NAV Arbeidslivssenter, i tråd med nasjonale anbefalinger. </w:t>
              </w:r>
              <w:r>
                <w:br/>
              </w:r>
              <w:r>
                <w:t xml:space="preserve">Flytskjema under viser rutine for oppfølging av sykmeldte i Porsgrunn kommune:</w:t>
              </w:r>
            </w:p>
            <w:p>
              <w:pPr>
                <w:spacing w:after="160"/>
              </w:pPr>
              <w:r>
                <w:drawing>
                  <wp:inline distT="0" distB="0" distL="0" distR="0">
                    <wp:extent cx="5715000" cy="4057650"/>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8850b318389a4421"/>
                            <a:srcRect/>
                            <a:stretch>
                              <a:fillRect/>
                            </a:stretch>
                          </pic:blipFill>
                          <pic:spPr bwMode="auto">
                            <a:xfrm>
                              <a:off x="0" y="0"/>
                              <a:ext cx="5715000" cy="4057650"/>
                            </a:xfrm>
                            <a:prstGeom prst="rect">
                              <a:avLst/>
                            </a:prstGeom>
                          </pic:spPr>
                        </pic:pic>
                      </a:graphicData>
                    </a:graphic>
                  </wp:inline>
                </w:drawing>
              </w:r>
            </w:p>
            <w:p>
              <w:pPr>
                <w:spacing w:after="160"/>
              </w:pPr>
              <w:r>
                <w:rPr>
                  <w:b/>
                </w:rPr>
                <w:t xml:space="preserve">Nasjonale og sektorvise utviklingstrekk</w:t>
              </w:r>
            </w:p>
            <w:p>
              <w:pPr>
                <w:spacing w:after="160"/>
              </w:pPr>
              <w:r>
                <w:t xml:space="preserve">På nasjonalt nivå viser tall fra NAV og SSB at sykefraværet i Norge gikk nedover i 2025, etter flere år med økning under og etter pandemien. </w:t>
              </w:r>
              <w:r>
                <w:br/>
              </w:r>
              <w:r>
                <w:t xml:space="preserve">Det totale sykefraværet nasjonalt innen både offentlige og privat virksomhet endte på 6,57 prosent i 2025, noe som er det laveste nivået på tre år (nedgang fra 6,8% de tre foregående år) Nedgangen sees særlig innen diagnoser som økte kraftig i pandemiperioden, blant annet psykiske plager og luftveisinfeksjoner.</w:t>
              </w:r>
            </w:p>
            <w:p>
              <w:pPr>
                <w:spacing w:after="160"/>
              </w:pPr>
              <w:r>
                <w:t xml:space="preserve">Sykefraværet i kommunal sektor er høyere enn landsgjennomsnittet og særlig innen helse- og omsorgstjenester er fraværet høyt.</w:t>
              </w:r>
              <w:r>
                <w:br/>
              </w:r>
              <w:r>
                <w:t xml:space="preserve">Foreløpig tall for kommuner i Norge i 2025 er et fravær på 8,6%, kontra 8,9% i 2024. KS og Helsedirektoratet peker på strukturelle forhold som høy kvinneandel, fysisk og emosjonelt krevende arbeid, turnus og bemanningsutfordringer som viktige forklaringsfaktorer for fraværet. Forskning og erfaring viser samtidig at det er et betydelig handlingsrom fo</w:t>
              </w:r>
              <w:r>
                <w:rPr>
                  <w:b/>
                </w:rPr>
                <w:t xml:space="preserve">r</w:t>
              </w:r>
              <w:r>
                <w:t xml:space="preserve"> forebygging gjennom bedre organisering, ledelse og arbeidsmiljøarbeid.</w:t>
              </w:r>
            </w:p>
            <w:p>
              <w:pPr>
                <w:spacing w:after="160"/>
              </w:pPr>
              <w:r>
                <w:rPr>
                  <w:b/>
                </w:rPr>
                <w:t xml:space="preserve">Porsgrunn kommune i sammenligning</w:t>
              </w:r>
            </w:p>
            <w:p>
              <w:pPr>
                <w:spacing w:after="160"/>
              </w:pPr>
              <w:r>
                <w:t xml:space="preserve">Porsgrunn kommune har over tid hatt </w:t>
              </w:r>
              <w:r>
                <w:rPr>
                  <w:b/>
                </w:rPr>
                <w:t xml:space="preserve">lavere sykefravær enn mange sammenlignbare kommuner</w:t>
              </w:r>
              <w:r>
                <w:t xml:space="preserve">, både i Vestfold og Telemark og nasjonalt i kommunesektoren. </w:t>
              </w:r>
              <w:r>
                <w:br/>
              </w:r>
              <w:r>
                <w:t xml:space="preserve">Her er tall for 1.kvartal 2026:</w:t>
              </w:r>
            </w:p>
            <w:tbl>
              <w:tblPr>
                <w:tblStyle w:val="TableGrid"/>
                <w:tblW w:w="9000" w:type="dxa"/>
                <w:tblLayout w:type="fixed"/>
                <w:tblLook w:firstRow="false" w:lastRow="false" w:firstColumn="false" w:lastColumn="false"/>
              </w:tblPr>
              <w:tblGrid>
                <w:gridCol w:w="2888.1000000000004"/>
                <w:gridCol w:w="2211.3"/>
                <w:gridCol w:w="1942.1999999999998"/>
                <w:gridCol w:w="1958.4"/>
              </w:tblGrid>
              <w:tr>
                <w:trPr>
                  <w:tblCellSpacing w:w="0" w:type="dxa"/>
                </w:trPr>
                <w:tc>
                  <w:tcPr>
                    <w:tcW w:w="1580" w:type="auto"/>
                    <w:tcBorders>
                      <w:top w:val="single" w:color="000000" w:sz="0"/>
                      <w:left w:val="inset" w:color="000000" w:sz="0"/>
                      <w:bottom w:val="single" w:color="000000" w:sz="0"/>
                      <w:right w:val="single" w:color="000000" w:sz="0"/>
                    </w:tcBorders>
                    <w:tcMar>
                      <w:left w:w="108" w:type="dxa"/>
                      <w:right w:w="108" w:type="dxa"/>
                    </w:tcMar>
                    <w:vAlign w:val="top"/>
                  </w:tcPr>
                  <w:p>
                    <w:pPr>
                      <w:jc w:val="center"/>
                      <w:spacing w:after="160"/>
                    </w:pPr>
                    <w:r>
                      <w:br/>
                    </w:r>
                    <w:r>
                      <w:rPr>
                        <w:b/>
                      </w:rPr>
                      <w:t xml:space="preserve">Kommuner</w:t>
                    </w:r>
                  </w:p>
                </w:tc>
                <w:tc>
                  <w:tcPr>
                    <w:tcW w:w="1300" w:type="auto"/>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rPr>
                        <w:b/>
                      </w:rPr>
                      <w:t xml:space="preserve">Januar</w:t>
                    </w:r>
                  </w:p>
                </w:tc>
                <w:tc>
                  <w:tcPr>
                    <w:tcW w:w="1300" w:type="auto"/>
                    <w:tcBorders>
                      <w:top w:val="single" w:color="000000" w:sz="0"/>
                      <w:left w:val="none" w:color="000000" w:sz="0"/>
                      <w:bottom w:val="single" w:color="000000" w:sz="0"/>
                      <w:right w:val="single" w:color="000000" w:sz="0"/>
                    </w:tcBorders>
                    <w:tcMar/>
                    <w:vAlign w:val="top"/>
                  </w:tcPr>
                  <w:p>
                    <w:pPr>
                      <w:jc w:val="center"/>
                      <w:spacing w:after="160"/>
                    </w:pPr>
                    <w:r>
                      <w:rPr>
                        <w:b/>
                      </w:rPr>
                      <w:t xml:space="preserve">Februar</w:t>
                    </w:r>
                  </w:p>
                </w:tc>
                <w:tc>
                  <w:tcPr>
                    <w:tcW w:w="1200" w:type="auto"/>
                    <w:tcBorders>
                      <w:top w:val="single" w:color="000000" w:sz="0"/>
                      <w:left w:val="none" w:color="000000" w:sz="0"/>
                      <w:bottom w:val="single" w:color="000000" w:sz="0"/>
                      <w:right w:val="single" w:color="000000" w:sz="0"/>
                    </w:tcBorders>
                    <w:tcMar/>
                    <w:vAlign w:val="top"/>
                  </w:tcPr>
                  <w:p>
                    <w:pPr>
                      <w:jc w:val="center"/>
                      <w:spacing w:after="160"/>
                    </w:pPr>
                    <w:r>
                      <w:rPr>
                        <w:b/>
                      </w:rPr>
                      <w:t xml:space="preserve">Mars</w:t>
                    </w:r>
                  </w:p>
                </w:tc>
              </w:tr>
              <w:tr>
                <w:trPr>
                  <w:tblCellSpacing w:w="0" w:type="dxa"/>
                </w:trPr>
                <w:tc>
                  <w:tcPr>
                    <w:tcW w:w="1580" w:type="auto"/>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Horten</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11,0%</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10,7%</w:t>
                    </w:r>
                  </w:p>
                </w:tc>
                <w:tc>
                  <w:tcPr>
                    <w:tcW w:w="1200" w:type="auto"/>
                    <w:tcBorders>
                      <w:top w:val="none" w:color="000000" w:sz="0"/>
                      <w:left w:val="none" w:color="000000" w:sz="0"/>
                      <w:bottom w:val="single" w:color="000000" w:sz="4"/>
                      <w:right w:val="inset" w:color="000000" w:sz="4"/>
                    </w:tcBorders>
                    <w:tcMar/>
                    <w:vAlign w:val="top"/>
                  </w:tcPr>
                  <w:p>
                    <w:pPr>
                      <w:jc w:val="center"/>
                      <w:spacing w:after="160"/>
                    </w:pPr>
                    <w:r>
                      <w:t xml:space="preserve">10,3%</w:t>
                    </w:r>
                  </w:p>
                </w:tc>
              </w:tr>
              <w:tr>
                <w:trPr>
                  <w:tblCellSpacing w:w="0" w:type="dxa"/>
                </w:trPr>
                <w:tc>
                  <w:tcPr>
                    <w:vAlign w:val="center"/>
                  </w:tcPr>
                  <w:p>
                    <w:pPr>
                      <w:spacing w:after="160"/>
                    </w:pPr>
                    <w:r>
                      <w:t xml:space="preserve">                 Larvik</w:t>
                    </w:r>
                  </w:p>
                </w:tc>
                <w:tc>
                  <w:tcPr>
                    <w:vAlign w:val="center"/>
                  </w:tcPr>
                  <w:p>
                    <w:pPr>
                      <w:spacing w:after="160"/>
                    </w:pPr>
                    <w:r>
                      <w:t xml:space="preserve">           10,78%</w:t>
                    </w:r>
                  </w:p>
                </w:tc>
                <w:tc>
                  <w:tcPr>
                    <w:vAlign w:val="center"/>
                  </w:tcPr>
                  <w:p>
                    <w:pPr>
                      <w:spacing w:after="160"/>
                    </w:pPr>
                    <w:r>
                      <w:t xml:space="preserve">         10,92%</w:t>
                    </w:r>
                  </w:p>
                </w:tc>
                <w:tc>
                  <w:tcPr>
                    <w:vAlign w:val="center"/>
                  </w:tcPr>
                  <w:p>
                    <w:pPr>
                      <w:spacing w:after="160"/>
                    </w:pPr>
                    <w:r>
                      <w:t xml:space="preserve">         10,32%</w:t>
                    </w:r>
                  </w:p>
                </w:tc>
              </w:tr>
              <w:tr>
                <w:trPr>
                  <w:tblCellSpacing w:w="0" w:type="dxa"/>
                </w:trPr>
                <w:tc>
                  <w:tcPr>
                    <w:tcW w:w="1580" w:type="auto"/>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Tønsberg</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10,73%</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10,56%</w:t>
                    </w:r>
                  </w:p>
                </w:tc>
                <w:tc>
                  <w:tcPr>
                    <w:tcW w:w="1200" w:type="auto"/>
                    <w:tcBorders>
                      <w:top w:val="none" w:color="000000" w:sz="0"/>
                      <w:left w:val="none" w:color="000000" w:sz="0"/>
                      <w:bottom w:val="single" w:color="000000" w:sz="4"/>
                      <w:right w:val="inset" w:color="000000" w:sz="4"/>
                    </w:tcBorders>
                    <w:tcMar/>
                    <w:vAlign w:val="top"/>
                  </w:tcPr>
                  <w:p>
                    <w:pPr>
                      <w:jc w:val="center"/>
                      <w:spacing w:after="160"/>
                    </w:pPr>
                    <w:r>
                      <w:t xml:space="preserve">10.22%</w:t>
                    </w:r>
                  </w:p>
                </w:tc>
              </w:tr>
              <w:tr>
                <w:trPr>
                  <w:tblCellSpacing w:w="0" w:type="dxa"/>
                </w:trPr>
                <w:tc>
                  <w:tcPr>
                    <w:tcW w:w="1580" w:type="auto"/>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Færder</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10,58%</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10,56%</w:t>
                    </w:r>
                  </w:p>
                </w:tc>
                <w:tc>
                  <w:tcPr>
                    <w:tcW w:w="1200" w:type="auto"/>
                    <w:tcBorders>
                      <w:top w:val="none" w:color="000000" w:sz="0"/>
                      <w:left w:val="none" w:color="000000" w:sz="0"/>
                      <w:bottom w:val="single" w:color="000000" w:sz="4"/>
                      <w:right w:val="inset" w:color="000000" w:sz="4"/>
                    </w:tcBorders>
                    <w:tcMar/>
                    <w:vAlign w:val="top"/>
                  </w:tcPr>
                  <w:p>
                    <w:pPr>
                      <w:jc w:val="center"/>
                      <w:spacing w:after="160"/>
                    </w:pPr>
                    <w:r>
                      <w:t xml:space="preserve">10.08%</w:t>
                    </w:r>
                  </w:p>
                </w:tc>
              </w:tr>
              <w:tr>
                <w:trPr>
                  <w:tblCellSpacing w:w="0" w:type="dxa"/>
                </w:trPr>
                <w:tc>
                  <w:tcPr>
                    <w:tcW w:w="1580" w:type="auto"/>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Holmestrand</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11.3%</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11%</w:t>
                    </w:r>
                  </w:p>
                </w:tc>
                <w:tc>
                  <w:tcPr>
                    <w:tcW w:w="1200" w:type="auto"/>
                    <w:tcBorders>
                      <w:top w:val="none" w:color="000000" w:sz="0"/>
                      <w:left w:val="none" w:color="000000" w:sz="0"/>
                      <w:bottom w:val="single" w:color="000000" w:sz="4"/>
                      <w:right w:val="inset" w:color="000000" w:sz="4"/>
                    </w:tcBorders>
                    <w:tcMar/>
                    <w:vAlign w:val="top"/>
                  </w:tcPr>
                  <w:p>
                    <w:pPr>
                      <w:jc w:val="center"/>
                      <w:spacing w:after="160"/>
                    </w:pPr>
                    <w:r>
                      <w:t xml:space="preserve">10.8%</w:t>
                    </w:r>
                  </w:p>
                </w:tc>
              </w:tr>
              <w:tr>
                <w:trPr>
                  <w:tblCellSpacing w:w="0" w:type="dxa"/>
                </w:trPr>
                <w:tc>
                  <w:tcPr>
                    <w:tcW w:w="1580" w:type="auto"/>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Sandefjord</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10.72%</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11.18%</w:t>
                    </w:r>
                  </w:p>
                </w:tc>
                <w:tc>
                  <w:tcPr>
                    <w:tcW w:w="1200" w:type="auto"/>
                    <w:tcBorders>
                      <w:top w:val="none" w:color="000000" w:sz="0"/>
                      <w:left w:val="none" w:color="000000" w:sz="0"/>
                      <w:bottom w:val="single" w:color="000000" w:sz="4"/>
                      <w:right w:val="inset" w:color="000000" w:sz="4"/>
                    </w:tcBorders>
                    <w:tcMar/>
                    <w:vAlign w:val="top"/>
                  </w:tcPr>
                  <w:p>
                    <w:pPr>
                      <w:jc w:val="center"/>
                      <w:spacing w:after="160"/>
                    </w:pPr>
                    <w:r>
                      <w:t xml:space="preserve">10.81%</w:t>
                    </w:r>
                  </w:p>
                </w:tc>
              </w:tr>
              <w:tr>
                <w:trPr>
                  <w:tblCellSpacing w:w="0" w:type="dxa"/>
                </w:trPr>
                <w:tc>
                  <w:tcPr>
                    <w:tcW w:w="1580" w:type="auto"/>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Skien</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11.6%</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t xml:space="preserve">11.7%</w:t>
                    </w:r>
                  </w:p>
                </w:tc>
                <w:tc>
                  <w:tcPr>
                    <w:tcW w:w="1200" w:type="auto"/>
                    <w:tcBorders>
                      <w:top w:val="none" w:color="000000" w:sz="0"/>
                      <w:left w:val="none" w:color="000000" w:sz="0"/>
                      <w:bottom w:val="single" w:color="000000" w:sz="4"/>
                      <w:right w:val="inset" w:color="000000" w:sz="4"/>
                    </w:tcBorders>
                    <w:tcMar/>
                    <w:vAlign w:val="top"/>
                  </w:tcPr>
                  <w:p>
                    <w:pPr>
                      <w:jc w:val="center"/>
                      <w:spacing w:after="160"/>
                    </w:pPr>
                    <w:r>
                      <w:t xml:space="preserve">12%</w:t>
                    </w:r>
                  </w:p>
                </w:tc>
              </w:tr>
              <w:tr>
                <w:trPr>
                  <w:tblCellSpacing w:w="0" w:type="dxa"/>
                </w:trPr>
                <w:tc>
                  <w:tcPr>
                    <w:tcW w:w="1580" w:type="auto"/>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rPr>
                        <w:i/>
                      </w:rPr>
                      <w:t xml:space="preserve">Porsgrunn</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i/>
                      </w:rPr>
                      <w:t xml:space="preserve">8.61%</w:t>
                    </w:r>
                  </w:p>
                </w:tc>
                <w:tc>
                  <w:tcPr>
                    <w:tcW w:w="1300" w:type="auto"/>
                    <w:tcBorders>
                      <w:top w:val="none" w:color="000000" w:sz="0"/>
                      <w:left w:val="none" w:color="000000" w:sz="0"/>
                      <w:bottom w:val="single" w:color="000000" w:sz="4"/>
                      <w:right w:val="single" w:color="000000" w:sz="4"/>
                    </w:tcBorders>
                    <w:tcMar>
                      <w:left w:w="108" w:type="dxa"/>
                      <w:right w:w="108" w:type="dxa"/>
                    </w:tcMar>
                    <w:vAlign w:val="top"/>
                  </w:tcPr>
                  <w:p>
                    <w:pPr>
                      <w:jc w:val="center"/>
                      <w:spacing w:after="160"/>
                    </w:pPr>
                    <w:r>
                      <w:rPr>
                        <w:i/>
                      </w:rPr>
                      <w:t xml:space="preserve">8.72%</w:t>
                    </w:r>
                  </w:p>
                </w:tc>
                <w:tc>
                  <w:tcPr>
                    <w:tcW w:w="1200" w:type="auto"/>
                    <w:tcBorders>
                      <w:top w:val="none" w:color="000000" w:sz="0"/>
                      <w:left w:val="none" w:color="000000" w:sz="0"/>
                      <w:bottom w:val="single" w:color="000000" w:sz="4"/>
                      <w:right w:val="inset" w:color="000000" w:sz="4"/>
                    </w:tcBorders>
                    <w:tcMar/>
                    <w:vAlign w:val="top"/>
                  </w:tcPr>
                  <w:p>
                    <w:pPr>
                      <w:jc w:val="center"/>
                      <w:spacing w:after="160"/>
                    </w:pPr>
                    <w:r>
                      <w:rPr>
                        <w:i/>
                      </w:rPr>
                      <w:t xml:space="preserve">8.24%</w:t>
                    </w:r>
                  </w:p>
                </w:tc>
              </w:tr>
            </w:tbl>
            <w:p>
              <w:pPr>
                <w:spacing w:after="160"/>
              </w:pPr>
              <w:r>
                <w:t xml:space="preserve">Porsgrunn kommunes sykefraværstall blir fortløpende publisert i Framsikt, og rapporteres kvartalsvis. Lenken nedenfor viser månedlige sykefraværstall som publiseres forløpende.      </w:t>
              </w:r>
            </w:p>
            <w:p>
              <w:pPr>
                <w:spacing w:after="160"/>
              </w:pPr>
              <w:hyperlink w:history="true" r:id="R79c41b318d2b4582">
                <w:r>
                  <w:rPr>
                    <w:rStyle w:val="Hyperlink"/>
                    <w:u w:val="single"/>
                  </w:rPr>
                  <w:t xml:space="preserve">Lenke</w:t>
                </w:r>
              </w:hyperlink>
              <w:r>
                <w:t xml:space="preserve">  </w:t>
              </w:r>
            </w:p>
            <w:p>
              <w:pPr>
                <w:spacing w:after="160"/>
              </w:pPr>
              <w:r>
                <w:rPr>
                  <w:b/>
                </w:rPr>
                <w:t xml:space="preserve">Sykefraværstrend for Porsgrunn kommune:  </w:t>
              </w:r>
            </w:p>
            <w:p>
              <w:pPr>
                <w:spacing w:after="160"/>
              </w:pPr>
              <w:r>
                <w:drawing>
                  <wp:inline distT="0" distB="0" distL="0" distR="0">
                    <wp:extent cx="5715000" cy="2085975"/>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417adf39145e469b"/>
                            <a:srcRect/>
                            <a:stretch>
                              <a:fillRect/>
                            </a:stretch>
                          </pic:blipFill>
                          <pic:spPr bwMode="auto">
                            <a:xfrm>
                              <a:off x="0" y="0"/>
                              <a:ext cx="5715000" cy="2085975"/>
                            </a:xfrm>
                            <a:prstGeom prst="rect">
                              <a:avLst/>
                            </a:prstGeom>
                          </pic:spPr>
                        </pic:pic>
                      </a:graphicData>
                    </a:graphic>
                  </wp:inline>
                </w:drawing>
              </w:r>
            </w:p>
            <w:p>
              <w:pPr>
                <w:spacing w:after="160"/>
              </w:pPr>
              <w:r>
                <w:t xml:space="preserve">Tallene som foreligger for 1. tertial 2026 viser en positiv utvikling i sykefraværet i Porsgrunn kommune. Ved rapporteringstidspunktet er tallene for 1. kvartal 2026 tilgjengelige. Sykefraværet i Porsgrunn kommune var 8,51 prosent i 1. kvartal 2026. Dette utgjør en nedgang på 0,44 prosentpoeng sammenlignet med 1. kvartal 2025. Rammeområdene Barn, unge og kultur samt Politikk og administrasjon hadde en reduksjon i sykefraværet, mens Helse og omsorg og Miljø og byutvikling hadde en mindre økning i samme periode. </w:t>
              </w:r>
            </w:p>
            <w:p>
              <w:pPr>
                <w:spacing w:after="160"/>
              </w:pPr>
              <w:r>
                <w:t xml:space="preserve">Nedgangen i det totale sykefraværet i 1. kvartal 2026 skyldes i hovedsak redusert korttidssykefravær. Langtidssykefraværet ligger på samme nivå som i 1. kvartal 2025. </w:t>
              </w:r>
            </w:p>
            <w:p>
              <w:pPr>
                <w:spacing w:after="160"/>
              </w:pPr>
              <w:r>
                <w:t xml:space="preserve">Sykefraværstallene for 1. kvartal 2026 i Porsgrunn kommune f</w:t>
              </w:r>
              <w:r>
                <w:rPr>
                  <w:b/>
                </w:rPr>
                <w:t xml:space="preserve">ordelt på rammeområder: </w:t>
              </w:r>
            </w:p>
            <w:tbl>
              <w:tblPr>
                <w:tblStyle w:val="TableGrid"/>
                <w:tblW w:w="9000" w:type="dxa"/>
                <w:tblLayout w:type="fixed"/>
                <w:tblLook w:firstRow="false" w:lastRow="false" w:firstColumn="false" w:lastColumn="false"/>
              </w:tblPr>
              <w:tblGrid>
                <w:gridCol w:w="3846.6"/>
                <w:gridCol w:w="1187.1"/>
                <w:gridCol w:w="1006.2"/>
                <w:gridCol w:w="813.5999999999999"/>
                <w:gridCol w:w="1026.9"/>
                <w:gridCol w:w="1119.6"/>
              </w:tblGrid>
              <w:tr>
                <w:trPr>
                  <w:tblCellSpacing w:w="0" w:type="dxa"/>
                </w:trPr>
                <w:tc>
                  <w:tcPr>
                    <w:tcW w:w="3105" w:type="dxa"/>
                    <w:tcMar/>
                    <w:vAlign w:val="bottom"/>
                  </w:tcPr>
                  <w:p>
                    <w:pPr>
                      <w:spacing w:after="160"/>
                    </w:pPr>
                    <w:r>
                      <w:t xml:space="preserve"> </w:t>
                    </w:r>
                  </w:p>
                </w:tc>
                <w:tc>
                  <w:tcPr>
                    <w:tcW w:w="1020" w:type="dxa"/>
                    <w:tcMar/>
                    <w:vAlign w:val="bottom"/>
                  </w:tcPr>
                  <w:p>
                    <w:pPr>
                      <w:spacing w:after="160"/>
                    </w:pPr>
                    <w:r>
                      <w:t xml:space="preserve">Januar </w:t>
                    </w:r>
                  </w:p>
                </w:tc>
                <w:tc>
                  <w:tcPr>
                    <w:tcW w:w="1020" w:type="dxa"/>
                    <w:tcMar/>
                    <w:vAlign w:val="bottom"/>
                  </w:tcPr>
                  <w:p>
                    <w:pPr>
                      <w:spacing w:after="160"/>
                    </w:pPr>
                    <w:r>
                      <w:t xml:space="preserve">Februar </w:t>
                    </w:r>
                  </w:p>
                </w:tc>
                <w:tc>
                  <w:tcPr>
                    <w:tcW w:w="1020" w:type="dxa"/>
                    <w:tcMar/>
                    <w:vAlign w:val="bottom"/>
                  </w:tcPr>
                  <w:p>
                    <w:pPr>
                      <w:spacing w:after="160"/>
                    </w:pPr>
                    <w:r>
                      <w:t xml:space="preserve">Mars </w:t>
                    </w:r>
                  </w:p>
                </w:tc>
                <w:tc>
                  <w:tcPr>
                    <w:tcW w:w="1469" w:type="dxa"/>
                    <w:tcMar/>
                    <w:vAlign w:val="bottom"/>
                  </w:tcPr>
                  <w:p>
                    <w:pPr>
                      <w:spacing w:after="160"/>
                    </w:pPr>
                    <w:r>
                      <w:rPr>
                        <w:b/>
                      </w:rPr>
                      <w:t xml:space="preserve">1. kvartal 2026 </w:t>
                    </w:r>
                  </w:p>
                </w:tc>
                <w:tc>
                  <w:tcPr>
                    <w:tcW w:w="1440" w:type="dxa"/>
                    <w:tcMar/>
                    <w:vAlign w:val="bottom"/>
                  </w:tcPr>
                  <w:p>
                    <w:pPr>
                      <w:spacing w:after="160"/>
                    </w:pPr>
                    <w:r>
                      <w:t xml:space="preserve">1. kvartal 2025 </w:t>
                    </w:r>
                  </w:p>
                </w:tc>
              </w:tr>
              <w:tr>
                <w:trPr>
                  <w:tblCellSpacing w:w="0" w:type="dxa"/>
                </w:trPr>
                <w:tc>
                  <w:tcPr>
                    <w:tcW w:w="3105" w:type="dxa"/>
                    <w:tcMar/>
                    <w:vAlign w:val="bottom"/>
                  </w:tcPr>
                  <w:p>
                    <w:pPr>
                      <w:spacing w:after="160"/>
                    </w:pPr>
                    <w:r>
                      <w:rPr>
                        <w:b/>
                      </w:rPr>
                      <w:t xml:space="preserve">Politikk og administrasjon </w:t>
                    </w:r>
                  </w:p>
                </w:tc>
                <w:tc>
                  <w:tcPr>
                    <w:tcW w:w="1020" w:type="dxa"/>
                    <w:tcMar/>
                    <w:vAlign w:val="bottom"/>
                  </w:tcPr>
                  <w:p>
                    <w:pPr>
                      <w:spacing w:after="160"/>
                    </w:pPr>
                    <w:r>
                      <w:t xml:space="preserve">5% </w:t>
                    </w:r>
                  </w:p>
                </w:tc>
                <w:tc>
                  <w:tcPr>
                    <w:tcW w:w="1020" w:type="dxa"/>
                    <w:tcMar/>
                    <w:vAlign w:val="bottom"/>
                  </w:tcPr>
                  <w:p>
                    <w:pPr>
                      <w:spacing w:after="160"/>
                    </w:pPr>
                    <w:r>
                      <w:t xml:space="preserve">4.2% </w:t>
                    </w:r>
                  </w:p>
                </w:tc>
                <w:tc>
                  <w:tcPr>
                    <w:tcW w:w="1020" w:type="dxa"/>
                    <w:tcMar/>
                    <w:vAlign w:val="bottom"/>
                  </w:tcPr>
                  <w:p>
                    <w:pPr>
                      <w:spacing w:after="160"/>
                    </w:pPr>
                    <w:r>
                      <w:t xml:space="preserve">4.8% </w:t>
                    </w:r>
                  </w:p>
                </w:tc>
                <w:tc>
                  <w:tcPr>
                    <w:tcW w:w="1469" w:type="dxa"/>
                    <w:tcMar/>
                    <w:vAlign w:val="bottom"/>
                  </w:tcPr>
                  <w:p>
                    <w:pPr>
                      <w:spacing w:after="160"/>
                    </w:pPr>
                    <w:r>
                      <w:rPr>
                        <w:b/>
                      </w:rPr>
                      <w:t xml:space="preserve">4.68% </w:t>
                    </w:r>
                  </w:p>
                </w:tc>
                <w:tc>
                  <w:tcPr>
                    <w:tcW w:w="1440" w:type="dxa"/>
                    <w:tcMar/>
                    <w:vAlign w:val="bottom"/>
                  </w:tcPr>
                  <w:p>
                    <w:pPr>
                      <w:spacing w:after="160"/>
                    </w:pPr>
                    <w:r>
                      <w:t xml:space="preserve">7.77% </w:t>
                    </w:r>
                  </w:p>
                </w:tc>
              </w:tr>
              <w:tr>
                <w:trPr>
                  <w:tblCellSpacing w:w="0" w:type="dxa"/>
                </w:trPr>
                <w:tc>
                  <w:tcPr>
                    <w:tcW w:w="3105" w:type="dxa"/>
                    <w:tcMar/>
                    <w:vAlign w:val="bottom"/>
                  </w:tcPr>
                  <w:p>
                    <w:pPr>
                      <w:spacing w:after="160"/>
                    </w:pPr>
                    <w:r>
                      <w:rPr>
                        <w:b/>
                      </w:rPr>
                      <w:t xml:space="preserve">Barn, unge og kultur </w:t>
                    </w:r>
                  </w:p>
                </w:tc>
                <w:tc>
                  <w:tcPr>
                    <w:tcW w:w="1020" w:type="dxa"/>
                    <w:tcMar/>
                    <w:vAlign w:val="bottom"/>
                  </w:tcPr>
                  <w:p>
                    <w:pPr>
                      <w:spacing w:after="160"/>
                    </w:pPr>
                    <w:r>
                      <w:t xml:space="preserve">7.3% </w:t>
                    </w:r>
                  </w:p>
                </w:tc>
                <w:tc>
                  <w:tcPr>
                    <w:tcW w:w="1020" w:type="dxa"/>
                    <w:tcMar/>
                    <w:vAlign w:val="bottom"/>
                  </w:tcPr>
                  <w:p>
                    <w:pPr>
                      <w:spacing w:after="160"/>
                    </w:pPr>
                    <w:r>
                      <w:t xml:space="preserve">7.9% </w:t>
                    </w:r>
                  </w:p>
                </w:tc>
                <w:tc>
                  <w:tcPr>
                    <w:tcW w:w="1020" w:type="dxa"/>
                    <w:tcMar/>
                    <w:vAlign w:val="bottom"/>
                  </w:tcPr>
                  <w:p>
                    <w:pPr>
                      <w:spacing w:after="160"/>
                    </w:pPr>
                    <w:r>
                      <w:t xml:space="preserve">7.9% </w:t>
                    </w:r>
                  </w:p>
                </w:tc>
                <w:tc>
                  <w:tcPr>
                    <w:tcW w:w="1469" w:type="dxa"/>
                    <w:tcMar/>
                    <w:vAlign w:val="bottom"/>
                  </w:tcPr>
                  <w:p>
                    <w:pPr>
                      <w:spacing w:after="160"/>
                    </w:pPr>
                    <w:r>
                      <w:rPr>
                        <w:b/>
                      </w:rPr>
                      <w:t xml:space="preserve">7.67% </w:t>
                    </w:r>
                  </w:p>
                </w:tc>
                <w:tc>
                  <w:tcPr>
                    <w:tcW w:w="1440" w:type="dxa"/>
                    <w:tcMar/>
                    <w:vAlign w:val="bottom"/>
                  </w:tcPr>
                  <w:p>
                    <w:pPr>
                      <w:spacing w:after="160"/>
                    </w:pPr>
                    <w:r>
                      <w:t xml:space="preserve">8.53% </w:t>
                    </w:r>
                  </w:p>
                </w:tc>
              </w:tr>
              <w:tr>
                <w:trPr>
                  <w:tblCellSpacing w:w="0" w:type="dxa"/>
                </w:trPr>
                <w:tc>
                  <w:tcPr>
                    <w:tcW w:w="3105" w:type="dxa"/>
                    <w:tcMar/>
                    <w:vAlign w:val="bottom"/>
                  </w:tcPr>
                  <w:p>
                    <w:pPr>
                      <w:spacing w:after="160"/>
                    </w:pPr>
                    <w:r>
                      <w:rPr>
                        <w:b/>
                      </w:rPr>
                      <w:t xml:space="preserve">Helse og omsorg </w:t>
                    </w:r>
                  </w:p>
                </w:tc>
                <w:tc>
                  <w:tcPr>
                    <w:tcW w:w="1020" w:type="dxa"/>
                    <w:tcMar/>
                    <w:vAlign w:val="bottom"/>
                  </w:tcPr>
                  <w:p>
                    <w:pPr>
                      <w:spacing w:after="160"/>
                    </w:pPr>
                    <w:r>
                      <w:t xml:space="preserve">10.4% </w:t>
                    </w:r>
                  </w:p>
                </w:tc>
                <w:tc>
                  <w:tcPr>
                    <w:tcW w:w="1020" w:type="dxa"/>
                    <w:tcMar/>
                    <w:vAlign w:val="bottom"/>
                  </w:tcPr>
                  <w:p>
                    <w:pPr>
                      <w:spacing w:after="160"/>
                    </w:pPr>
                    <w:r>
                      <w:t xml:space="preserve">10.2% </w:t>
                    </w:r>
                  </w:p>
                </w:tc>
                <w:tc>
                  <w:tcPr>
                    <w:tcW w:w="1020" w:type="dxa"/>
                    <w:tcMar/>
                    <w:vAlign w:val="bottom"/>
                  </w:tcPr>
                  <w:p>
                    <w:pPr>
                      <w:spacing w:after="160"/>
                    </w:pPr>
                    <w:r>
                      <w:t xml:space="preserve">9.3% </w:t>
                    </w:r>
                  </w:p>
                </w:tc>
                <w:tc>
                  <w:tcPr>
                    <w:tcW w:w="1469" w:type="dxa"/>
                    <w:tcMar/>
                    <w:vAlign w:val="bottom"/>
                  </w:tcPr>
                  <w:p>
                    <w:pPr>
                      <w:spacing w:after="160"/>
                    </w:pPr>
                    <w:r>
                      <w:rPr>
                        <w:b/>
                      </w:rPr>
                      <w:t xml:space="preserve">9.94% </w:t>
                    </w:r>
                  </w:p>
                </w:tc>
                <w:tc>
                  <w:tcPr>
                    <w:tcW w:w="1440" w:type="dxa"/>
                    <w:tcMar/>
                    <w:vAlign w:val="bottom"/>
                  </w:tcPr>
                  <w:p>
                    <w:pPr>
                      <w:spacing w:after="160"/>
                    </w:pPr>
                    <w:r>
                      <w:t xml:space="preserve">9.73% </w:t>
                    </w:r>
                  </w:p>
                </w:tc>
              </w:tr>
              <w:tr>
                <w:trPr>
                  <w:tblCellSpacing w:w="0" w:type="dxa"/>
                </w:trPr>
                <w:tc>
                  <w:tcPr>
                    <w:tcW w:w="3105" w:type="dxa"/>
                    <w:tcMar/>
                    <w:vAlign w:val="bottom"/>
                  </w:tcPr>
                  <w:p>
                    <w:pPr>
                      <w:spacing w:after="160"/>
                    </w:pPr>
                    <w:r>
                      <w:rPr>
                        <w:b/>
                      </w:rPr>
                      <w:t xml:space="preserve">Miljø og byutvikling </w:t>
                    </w:r>
                  </w:p>
                </w:tc>
                <w:tc>
                  <w:tcPr>
                    <w:tcW w:w="1020" w:type="dxa"/>
                    <w:tcMar/>
                    <w:vAlign w:val="bottom"/>
                  </w:tcPr>
                  <w:p>
                    <w:pPr>
                      <w:spacing w:after="160"/>
                    </w:pPr>
                    <w:r>
                      <w:t xml:space="preserve">8.3% </w:t>
                    </w:r>
                  </w:p>
                </w:tc>
                <w:tc>
                  <w:tcPr>
                    <w:tcW w:w="1020" w:type="dxa"/>
                    <w:tcMar/>
                    <w:vAlign w:val="bottom"/>
                  </w:tcPr>
                  <w:p>
                    <w:pPr>
                      <w:spacing w:after="160"/>
                    </w:pPr>
                    <w:r>
                      <w:t xml:space="preserve">8.3% </w:t>
                    </w:r>
                  </w:p>
                </w:tc>
                <w:tc>
                  <w:tcPr>
                    <w:tcW w:w="1020" w:type="dxa"/>
                    <w:tcMar/>
                    <w:vAlign w:val="bottom"/>
                  </w:tcPr>
                  <w:p>
                    <w:pPr>
                      <w:spacing w:after="160"/>
                    </w:pPr>
                    <w:r>
                      <w:t xml:space="preserve">7.2% </w:t>
                    </w:r>
                  </w:p>
                </w:tc>
                <w:tc>
                  <w:tcPr>
                    <w:tcW w:w="1469" w:type="dxa"/>
                    <w:tcMar/>
                    <w:vAlign w:val="bottom"/>
                  </w:tcPr>
                  <w:p>
                    <w:pPr>
                      <w:spacing w:after="160"/>
                    </w:pPr>
                    <w:r>
                      <w:rPr>
                        <w:b/>
                      </w:rPr>
                      <w:t xml:space="preserve">7.9% </w:t>
                    </w:r>
                  </w:p>
                </w:tc>
                <w:tc>
                  <w:tcPr>
                    <w:tcW w:w="1440" w:type="dxa"/>
                    <w:tcMar/>
                    <w:vAlign w:val="bottom"/>
                  </w:tcPr>
                  <w:p>
                    <w:pPr>
                      <w:spacing w:after="160"/>
                    </w:pPr>
                    <w:r>
                      <w:t xml:space="preserve">7.86% </w:t>
                    </w:r>
                  </w:p>
                </w:tc>
              </w:tr>
              <w:tr>
                <w:trPr>
                  <w:tblCellSpacing w:w="0" w:type="dxa"/>
                </w:trPr>
                <w:tc>
                  <w:tcPr>
                    <w:tcW w:w="3105" w:type="dxa"/>
                    <w:tcMar/>
                    <w:vAlign w:val="top"/>
                  </w:tcPr>
                  <w:p>
                    <w:pPr>
                      <w:spacing w:after="160"/>
                    </w:pPr>
                    <w:r>
                      <w:rPr>
                        <w:b/>
                      </w:rPr>
                      <w:t xml:space="preserve">samlet for Porsgrunn kommune </w:t>
                    </w:r>
                  </w:p>
                </w:tc>
                <w:tc>
                  <w:tcPr>
                    <w:tcW w:w="1020" w:type="dxa"/>
                    <w:tcMar/>
                    <w:vAlign w:val="top"/>
                  </w:tcPr>
                  <w:p>
                    <w:pPr>
                      <w:spacing w:after="160"/>
                    </w:pPr>
                    <w:r>
                      <w:t xml:space="preserve">8.6% </w:t>
                    </w:r>
                  </w:p>
                </w:tc>
                <w:tc>
                  <w:tcPr>
                    <w:tcW w:w="1020" w:type="dxa"/>
                    <w:tcMar/>
                    <w:vAlign w:val="top"/>
                  </w:tcPr>
                  <w:p>
                    <w:pPr>
                      <w:spacing w:after="160"/>
                    </w:pPr>
                    <w:r>
                      <w:t xml:space="preserve">8.7% </w:t>
                    </w:r>
                  </w:p>
                </w:tc>
                <w:tc>
                  <w:tcPr>
                    <w:tcW w:w="1020" w:type="dxa"/>
                    <w:tcMar/>
                    <w:vAlign w:val="top"/>
                  </w:tcPr>
                  <w:p>
                    <w:pPr>
                      <w:spacing w:after="160"/>
                    </w:pPr>
                    <w:r>
                      <w:t xml:space="preserve">8.2% </w:t>
                    </w:r>
                  </w:p>
                </w:tc>
                <w:tc>
                  <w:tcPr>
                    <w:tcW w:w="1469" w:type="dxa"/>
                    <w:tcMar/>
                    <w:vAlign w:val="top"/>
                  </w:tcPr>
                  <w:p>
                    <w:pPr>
                      <w:spacing w:after="160"/>
                    </w:pPr>
                    <w:r>
                      <w:rPr>
                        <w:b/>
                      </w:rPr>
                      <w:t xml:space="preserve">8.51% </w:t>
                    </w:r>
                  </w:p>
                </w:tc>
                <w:tc>
                  <w:tcPr>
                    <w:tcW w:w="1440" w:type="dxa"/>
                    <w:tcMar/>
                    <w:vAlign w:val="top"/>
                  </w:tcPr>
                  <w:p>
                    <w:pPr>
                      <w:spacing w:after="160"/>
                    </w:pPr>
                    <w:r>
                      <w:t xml:space="preserve">8.95% </w:t>
                    </w:r>
                  </w:p>
                </w:tc>
              </w:tr>
            </w:tbl>
            <w:p>
              <w:pPr>
                <w:spacing w:after="160"/>
              </w:pPr>
              <w:r>
                <w:t xml:space="preserve">Sykefraværstallene fordelt på legemeldt og egenmeldt fravær for 1. kvartal 2026 i Porsgrunn kommune for rammeområdene. Egenmeldt er definert som 1-3 dager: </w:t>
              </w:r>
            </w:p>
            <w:p>
              <w:pPr>
                <w:spacing w:after="160"/>
              </w:pPr>
              <w:r>
                <w:drawing>
                  <wp:inline distT="0" distB="0" distL="0" distR="0">
                    <wp:extent cx="5715000" cy="7477125"/>
                    <wp:effectExtent l="19050" t="0" r="0" b="0"/>
                    <wp:docPr id="6"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25e86b69e8004e29"/>
                            <a:srcRect/>
                            <a:stretch>
                              <a:fillRect/>
                            </a:stretch>
                          </pic:blipFill>
                          <pic:spPr bwMode="auto">
                            <a:xfrm>
                              <a:off x="0" y="0"/>
                              <a:ext cx="5715000" cy="7477125"/>
                            </a:xfrm>
                            <a:prstGeom prst="rect">
                              <a:avLst/>
                            </a:prstGeom>
                          </pic:spPr>
                        </pic:pic>
                      </a:graphicData>
                    </a:graphic>
                  </wp:inline>
                </w:drawing>
              </w:r>
            </w:p>
            <w:p>
              <w:pPr>
                <w:spacing w:after="160"/>
              </w:pPr>
              <w:r>
                <w:rPr>
                  <w:b/>
                </w:rPr>
                <w:t xml:space="preserve">Avslutning</w:t>
              </w:r>
            </w:p>
            <w:p>
              <w:pPr>
                <w:spacing w:after="160"/>
              </w:pPr>
              <w:r>
                <w:t xml:space="preserve">Utviklingen over tid har samlet sett vært positivt, samtidig som det er variasjoner mellom enhetene. Vi viser særlig til to trender:  </w:t>
              </w:r>
              <w:r>
                <w:br/>
              </w:r>
              <w:r>
                <w:t xml:space="preserve">I </w:t>
              </w:r>
              <w:r>
                <w:rPr>
                  <w:b/>
                </w:rPr>
                <w:t xml:space="preserve">hjemmetjenestene</w:t>
              </w:r>
              <w:r>
                <w:t xml:space="preserve"> ser vi, til tross for målrettet og systematisk oppfølging, en økning i sykefraværet sammenlignet med samme periode i fjor. Utviklingen knyttes blant annet til høyt arbeidspress, et mer krevende arbeidsmiljø, samt utfordringer med å skaffe vikarer på kort varsel. Dette er en situasjonsbeskrivelse som også er gjenkjennbar for mange andre kommuner og samsvarer med det nasjonale utfordringsbildet i sektoren.</w:t>
              </w:r>
              <w:r>
                <w:br/>
              </w:r>
              <w:r>
                <w:rPr>
                  <w:b/>
                </w:rPr>
                <w:t xml:space="preserve">Barnehagene</w:t>
              </w:r>
              <w:r>
                <w:t xml:space="preserve"> har hatt en veldig positiv utvikling i 1. kvartal 2026. Dette er en periode av året som ofte er preget av mye smitte og sykdom. Det har vært stor nedgang i både korttids og langtidsfravær.  </w:t>
              </w:r>
            </w:p>
            <w:p>
              <w:pPr>
                <w:spacing w:after="160"/>
              </w:pPr>
              <w:r>
                <w:t xml:space="preserve">Porsgrunn kommune arbeider videre med sykefravær som en indikator på kvalitet i arbeid og organisering, ikke som et isolert problem. </w:t>
              </w:r>
              <w:r>
                <w:br/>
              </w:r>
              <w:r>
                <w:t xml:space="preserve">Målet er et bærekraftig arbeidsliv med trygge medarbeidere, stabile tjenester og tydelig ledelse – i tråd med nasjonale føringer og kommunens egne strategiske mål. Totalt sett bekrefter utviklingen at langsiktig og målrettet innsats gir effekt. </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7d1b6dff8b264cbf" /><Relationship Type="http://schemas.openxmlformats.org/officeDocument/2006/relationships/image" Target="/media/image.jpg" Id="R8850b318389a4421" /><Relationship Type="http://schemas.openxmlformats.org/officeDocument/2006/relationships/hyperlink" Target="https://www.porsgrunn.kommune.no/organisasjon/oekonomi-og-planer/oekonomirapporter-og-sykefravaer/" TargetMode="External" Id="R79c41b318d2b4582" /><Relationship Type="http://schemas.openxmlformats.org/officeDocument/2006/relationships/image" Target="/media/image2.jpg" Id="R417adf39145e469b" /><Relationship Type="http://schemas.openxmlformats.org/officeDocument/2006/relationships/image" Target="/media/image3.jpg" Id="R25e86b69e8004e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Status sykefravær i Porsgrunn kommune, 1.kvartal 2026</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