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26/5667</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1</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Alexander Mokkelbost</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08.05.2026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Porsgrunn kommune - Årsregnskap og årsberetning 2025</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14/26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Flerkulturelt kontaktutvalg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27/26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Råd for personer med funksjonsnedsettelse</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23/26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Eldrerådet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14/26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Ungdomsrådet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32/26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miljø og byutvikling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26.05.2026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24/26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helse og omsorg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26.05.2026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17/26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Arbeidsmiljøutvalg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01.06.2026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29/26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barn, unge og kultur</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27.05.2026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21/26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Administrasjonsutvalg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28.05.2026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35/26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Formannskapet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28.05.2026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Bystyret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 </w:t>
                        </w:r>
                      </w:sdtContent>
                    </w:sdt>
                  </w:p>
                </w:tc>
              </w:tr>
            </w:tbl>
            <w:p w:rsidRPr="00853B6B" w:rsidR="002E12DF" w:rsidP="003E7097" w:rsidRDefault="00000000" w14:paraId="15136346" w14:textId="77777777"/>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spacing w:after="160"/>
              </w:pPr>
              <w:r>
                <w:t xml:space="preserve">Porsgrunn kommunes regnskap og årsberetning for 2025 godkjennes</w:t>
              </w:r>
            </w:p>
          </w:sdtContent>
        </w:sdt>
        <w:p w:rsidR="00043C24" w:rsidP="003E7097" w:rsidRDefault="00043C24" w14:paraId="30E7DD88" w14:textId="77777777"/>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Bakgrunn for saken</w:t>
              </w:r>
            </w:p>
            <w:p>
              <w:pPr>
                <w:spacing w:after="160"/>
              </w:pPr>
              <w:r>
                <w:t xml:space="preserve">Årsberetningen for 2025 inneholder informasjon i samsvar med kommunelovens § 14-7. Den gir opplysninger om forhold som er viktige for å vurdere kommunens økonomiske stilling og måloppnåelse, tilbakemelding på særskilte vedtak, oppfølging av klima og status og resultat på de ulike tjenesteområdene. </w:t>
              </w:r>
            </w:p>
            <w:p>
              <w:pPr>
                <w:spacing w:after="160"/>
              </w:pPr>
              <w:r>
                <w:t xml:space="preserve">Vedlagt årsregnskap 2025 for Porsgrunn kommune omfatter tabeller som viser bare kommunetall og egne tabeller som viser konsoliderte tall dvs. tall som også inkluderer Keops utvikling KF og Keops arbeid KF. Det er formannskapet som innstiller til bystyret vedrørende årsregnskap og årsberetning. Før formannskapet behandler saken avgir kontrollutvalget sin uttalelse.</w:t>
              </w:r>
            </w:p>
          </w:sdtContent>
        </w:sdt>
        <w:sdt>
          <w:sdtPr>
            <w:alias w:val="SaksTekst"/>
            <w:tag w:val="SaksTekst"/>
            <w:id w:val="-1309477531"/>
          </w:sdtPr>
          <w:sdtContent>
            <w:p>
              <w:pPr>
                <w:spacing w:after="160"/>
              </w:pPr>
              <w:r>
                <w:rPr>
                  <w:b/>
                </w:rPr>
                <w:t xml:space="preserve">Saksfremstilling</w:t>
              </w:r>
            </w:p>
            <w:p>
              <w:pPr>
                <w:spacing w:after="160"/>
              </w:pPr>
              <w:r>
                <w:t xml:space="preserve">Driftsregnskapet for 2025 er avsluttet i balanse, med ett netto driftsresultat på 144,3 mill. kroner og med en avsetning til disposisjonsfond med til sammen 73 mill. kroner. Inntektene fra inntekts- og formueskatt ble om lag 30 mill. kroner mer enn regulert budsjett, netto driftsutgifter ble ca.19,6 mill. kroner lavere enn regulert budsjett, og netto finansutgifter endte 18,1 mill. kroner lavere enn regulert budsjett. Investeringsbudsjettet er avsluttet i balanse. Det ble brukt 166,6 mill. kroner mindre i 2025 enn regulert budsjett som følge av lavere framdrift på en del større prosjekter. Ubrukte lånemidler er ved årsskiftet økt fra 187 mill. kroner til 285 mill. kroner.</w:t>
              </w:r>
            </w:p>
            <w:p>
              <w:pPr>
                <w:spacing w:after="160"/>
              </w:pPr>
              <w:r>
                <w:t xml:space="preserve">Årsberetningen for 2025 foreligger som en web-versjon tilgjengelig på kommunens hjemmeside, under Administrasjon - Økonomi og planer - økonomirapporter og sykefravær.</w:t>
              </w:r>
            </w:p>
            <w:p>
              <w:pPr>
                <w:spacing w:after="160"/>
              </w:pPr>
              <w:hyperlink w:history="true" r:id="R674f9840d79949c7">
                <w:r>
                  <w:rPr>
                    <w:rStyle w:val="Hyperlink"/>
                  </w:rPr>
                  <w:t xml:space="preserve">Trykk her for link til årsberetning 2025</w:t>
                </w:r>
              </w:hyperlink>
            </w:p>
            <w:p>
              <w:pPr>
                <w:spacing w:after="160"/>
              </w:pPr>
              <w:r>
                <w:rPr>
                  <w:b/>
                </w:rPr>
                <w:t xml:space="preserve">Kommunedirektørens vurdering:</w:t>
              </w:r>
            </w:p>
            <w:p>
              <w:pPr>
                <w:spacing w:after="160"/>
              </w:pPr>
              <w:r>
                <w:t xml:space="preserve">2025 har vært et år preget av stram økonomistyring, høy aktivitet og tydelige prioriteringer i hele Porsgrunn kommune. Selv om rammebetingelsene har vært krevende, med usikkerhet knyttet til inntekter, demografi og tjenestebehov, leverer kommunen et godt resultat samlet. Vi når vårt finansielle måltall for netto driftsresultat, gjeldsgraden reduseres, og disposisjonsfondet styrkes. Det gir rom for å bygge opp noen nødvendige reserver og et visst handlingsrom i møte med en utvikling der både befolkningssammensetningen og kostnadsnivået endrer seg raskt. </w:t>
              </w:r>
            </w:p>
            <w:p>
              <w:pPr>
                <w:spacing w:after="160"/>
              </w:pPr>
              <w:r>
                <w:t xml:space="preserve">Tjenesteområdene har gjennom 2025 stått i et betydelig press – særlig innen helse og mestring og oppvekst, der økte og mer komplekse behov utfordrer kapasitet og økonomiske rammer. Likevel viser resultatene gjennomgående god styring og evne til å tilpasse driften. Det er gjort viktige strukturelle grep, og arbeidet med omstilling og effektiv ressursbruk fortsetter i hele organisasjonen. </w:t>
              </w:r>
            </w:p>
            <w:p>
              <w:pPr>
                <w:spacing w:after="160"/>
              </w:pPr>
              <w:r>
                <w:t xml:space="preserve">2025 har vært et år med omfattende utviklings- og investeringsaktivitet. Flere større prosjekter er fullført eller godt i gang, innen både infrastruktur, bygg, vann og avløp samt velferdstjenester. Samtidig er det gjennomført målrettede tiltak innen klima, energi, digitalisering og organisasjonsutvikling som vil gi varige gevinster fremover.</w:t>
              </w:r>
            </w:p>
            <w:p>
              <w:pPr>
                <w:spacing w:after="160"/>
              </w:pPr>
              <w:r>
                <w:t xml:space="preserve">Utviklingen av demografi, med færre barn og flere eldre gjør at vi må endre våre tjenester og styre ressurser til der behovet vil være fremover. Dette sammen med økte forventinger til tjenester, press på økonomiske rammer og kamp om arbeidskraften vil utfordre vår evne til omstilling og prioritering fremover.</w:t>
              </w:r>
            </w:p>
            <w:p>
              <w:pPr>
                <w:spacing w:after="160"/>
              </w:pPr>
              <w:r>
                <w:rPr>
                  <w:b/>
                </w:rPr>
                <w:t xml:space="preserve">Effekten av saken </w:t>
              </w:r>
              <w:r>
                <w:br/>
              </w:r>
              <w:r>
                <w:t xml:space="preserve"> </w:t>
              </w:r>
            </w:p>
            <w:tbl>
              <w:tblPr>
                <w:tblStyle w:val="TableGrid"/>
                <w:tblW w:w="9000" w:type="dxa"/>
                <w:tblLayout w:type="fixed"/>
                <w:tblLook w:firstRow="true" w:lastRow="false" w:firstColumn="false" w:lastColumn="false"/>
              </w:tblPr>
              <w:tblGrid>
                <w:gridCol w:w="4434.3"/>
                <w:gridCol w:w="1084.5"/>
                <w:gridCol w:w="1067.4"/>
                <w:gridCol w:w="1009.8"/>
                <w:gridCol w:w="1404"/>
              </w:tblGrid>
              <w:tr>
                <w:trPr>
                  <w:tblCellSpacing w:w="0" w:type="dxa"/>
                </w:trPr>
                <w:tc>
                  <w:tcPr>
                    <w:vAlign w:val="center"/>
                  </w:tcPr>
                  <w:p>
                    <w:pPr>
                      <w:spacing w:after="160"/>
                    </w:pPr>
                    <w:r>
                      <w:t xml:space="preserve">Perspektiv</w:t>
                    </w:r>
                  </w:p>
                </w:tc>
                <w:tc>
                  <w:tcPr>
                    <w:vAlign w:val="center"/>
                  </w:tcPr>
                  <w:p>
                    <w:pPr>
                      <w:spacing w:after="160"/>
                    </w:pPr>
                    <w:r>
                      <w:t xml:space="preserve">Negativ</w:t>
                    </w:r>
                  </w:p>
                </w:tc>
                <w:tc>
                  <w:tcPr>
                    <w:vAlign w:val="center"/>
                  </w:tcPr>
                  <w:p>
                    <w:pPr>
                      <w:spacing w:after="160"/>
                    </w:pPr>
                    <w:r>
                      <w:t xml:space="preserve">Nøytral </w:t>
                    </w:r>
                  </w:p>
                </w:tc>
                <w:tc>
                  <w:tcPr>
                    <w:vAlign w:val="center"/>
                  </w:tcPr>
                  <w:p>
                    <w:pPr>
                      <w:spacing w:after="160"/>
                    </w:pPr>
                    <w:r>
                      <w:t xml:space="preserve">Positiv</w:t>
                    </w:r>
                  </w:p>
                </w:tc>
                <w:tc>
                  <w:tcPr>
                    <w:vAlign w:val="center"/>
                  </w:tcPr>
                  <w:p>
                    <w:pPr>
                      <w:spacing w:after="160"/>
                    </w:pPr>
                    <w:r>
                      <w:t xml:space="preserve">Ikke relevant</w:t>
                    </w:r>
                  </w:p>
                </w:tc>
              </w:tr>
              <w:tr>
                <w:trPr>
                  <w:tblCellSpacing w:w="0" w:type="dxa"/>
                </w:trPr>
                <w:tc>
                  <w:tcPr>
                    <w:vAlign w:val="center"/>
                  </w:tcPr>
                  <w:p>
                    <w:pPr>
                      <w:spacing w:after="160"/>
                    </w:pPr>
                    <w:r>
                      <w:t xml:space="preserve">Konsekvens for klima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Konsekvens for miljøet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Konsekvens for folkehelsen, herunder vurdering av </w:t>
                    </w:r>
                  </w:p>
                  <w:p>
                    <w:pPr>
                      <w:spacing w:after="160"/>
                    </w:pPr>
                    <w:r>
                      <w:t xml:space="preserve">tilpasning til aldersvennlig samfunn</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bl>
            <w:p>
              <w:pPr>
                <w:spacing w:after="160"/>
              </w:pPr>
              <w:r>
                <w:rPr>
                  <w:i/>
                  <w:vertAlign w:val="subscript"/>
                </w:rPr>
                <w:t xml:space="preserve">Forklaring: Tiltaket er vurdert ut fra fire perspektiver for å bestemme om det vil gjøre dagens situasjon forverret, uendret eller bedre. Dersom tiltaket ikke påvirker de nevnte perspektivene, er alternativet "ingen" påvirkning valgt.</w:t>
              </w:r>
            </w:p>
          </w:sdtContent>
        </w:sdt>
        <w:sdt>
          <w:sdtPr>
            <w:alias w:val="NyeOpplysningerTekst"/>
            <w:tag w:val="NyeOpplysningerTekst"/>
            <w:id w:val="98300992"/>
          </w:sdtPr>
          <w:sdtContent/>
        </w:sdt>
        <w:p w:rsidRPr="00853B6B" w:rsidR="00306EDF" w:rsidP="00F17BF4" w:rsidRDefault="00306EDF" w14:paraId="3E8AEE26" w14:textId="77777777"/>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character" w:styleId="Hyperlink">
    <w:name w:val="Hyperlink"/>
    <w:unhideWhenUsed/>
    <w:rPr>
      <w:color w:val="0000FF" w:themeColor="hyperlink"/>
      <w:u w:val="single"/>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 Type="http://schemas.openxmlformats.org/officeDocument/2006/relationships/hyperlink" Target="https://pub.framsikt.net/2025/porsgrunn/mr-202512-aarsber_25" TargetMode="External" Id="R674f9840d79949c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Porsgrunn kommune - Årsregnskap og årsberetning 2025</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