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26/6056</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Alexander Mokkelbost</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15.05.2026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1. tertial 2026 Porsgrunn kommune</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Rapport 1. tertial 2026 tas til orientering</w:t>
              </w:r>
            </w:p>
            <w:p>
              <w:pPr>
                <w:pStyle w:val="ListParagraph"/>
                <w:numPr>
                  <w:ilvl w:val="0"/>
                  <w:numId w:val="1"/>
                </w:numPr>
                <w:spacing w:after="160"/>
              </w:pPr>
              <w:r>
                <w:t xml:space="preserve">Følgende budsjettjusteringer gjøres i driftsbudsjettet:</w:t>
              </w:r>
            </w:p>
            <w:tbl>
              <w:tblPr>
                <w:tblStyle w:val="TableGrid"/>
                <w:tblW w:w="0" w:type="auto"/>
                <w:tblLook w:firstRow="false" w:lastRow="false" w:firstColumn="false" w:lastColumn="false"/>
              </w:tblPr>
              <w:tblGrid>
                <w:gridCol/>
                <w:gridCol/>
              </w:tblGrid>
              <w:tr>
                <w:trPr>
                  <w:tblCellSpacing w:w="0" w:type="dxa"/>
                </w:trPr>
                <w:tc>
                  <w:tcPr>
                    <w:shd w:val="clear" w:color="auto" w:fill="4C99E6"/>
                    <w:vAlign w:val="center"/>
                  </w:tcPr>
                  <w:p>
                    <w:pPr>
                      <w:spacing w:after="160"/>
                    </w:pPr>
                    <w:r>
                      <w:rPr>
                        <w:b/>
                        <w:shd w:val="clear" w:fill="4C99E6"/>
                      </w:rPr>
                      <w:t xml:space="preserve">Rammeområde</w:t>
                    </w:r>
                  </w:p>
                </w:tc>
                <w:tc>
                  <w:tcPr>
                    <w:shd w:val="clear" w:color="auto" w:fill="4C99E6"/>
                    <w:vAlign w:val="center"/>
                  </w:tcPr>
                  <w:p>
                    <w:pPr>
                      <w:spacing w:after="160"/>
                    </w:pPr>
                    <w:r>
                      <w:rPr>
                        <w:b/>
                        <w:shd w:val="clear" w:fill="4C99E6"/>
                      </w:rPr>
                      <w:t xml:space="preserve">Beløp i 1000 kr</w:t>
                    </w:r>
                  </w:p>
                </w:tc>
              </w:tr>
              <w:tr>
                <w:trPr>
                  <w:tblCellSpacing w:w="0" w:type="dxa"/>
                </w:trPr>
                <w:tc>
                  <w:tcPr>
                    <w:vAlign w:val="center"/>
                  </w:tcPr>
                  <w:p>
                    <w:pPr>
                      <w:spacing w:after="160"/>
                    </w:pPr>
                    <w:r>
                      <w:t xml:space="preserve">Politikk og administrasjon</w:t>
                    </w:r>
                  </w:p>
                </w:tc>
                <w:tc>
                  <w:tcPr>
                    <w:vAlign w:val="center"/>
                  </w:tcPr>
                  <w:p>
                    <w:pPr>
                      <w:spacing w:after="160"/>
                    </w:pPr>
                    <w:r>
                      <w:t xml:space="preserve">898</w:t>
                    </w:r>
                  </w:p>
                </w:tc>
              </w:tr>
              <w:tr>
                <w:trPr>
                  <w:tblCellSpacing w:w="0" w:type="dxa"/>
                </w:trPr>
                <w:tc>
                  <w:tcPr>
                    <w:vAlign w:val="center"/>
                  </w:tcPr>
                  <w:p>
                    <w:pPr>
                      <w:spacing w:after="160"/>
                    </w:pPr>
                    <w:r>
                      <w:t xml:space="preserve">Barn, unge og kultur</w:t>
                    </w:r>
                  </w:p>
                </w:tc>
                <w:tc>
                  <w:tcPr>
                    <w:vAlign w:val="center"/>
                  </w:tcPr>
                  <w:p>
                    <w:pPr>
                      <w:spacing w:after="160"/>
                    </w:pPr>
                    <w:r>
                      <w:t xml:space="preserve">11 039</w:t>
                    </w:r>
                  </w:p>
                </w:tc>
              </w:tr>
              <w:tr>
                <w:trPr>
                  <w:tblCellSpacing w:w="0" w:type="dxa"/>
                </w:trPr>
                <w:tc>
                  <w:tcPr>
                    <w:vAlign w:val="center"/>
                  </w:tcPr>
                  <w:p>
                    <w:pPr>
                      <w:spacing w:after="160"/>
                    </w:pPr>
                    <w:r>
                      <w:t xml:space="preserve">Helse og omsorg</w:t>
                    </w:r>
                  </w:p>
                </w:tc>
                <w:tc>
                  <w:tcPr>
                    <w:vAlign w:val="center"/>
                  </w:tcPr>
                  <w:p>
                    <w:pPr>
                      <w:spacing w:after="160"/>
                    </w:pPr>
                    <w:r>
                      <w:t xml:space="preserve">99 229</w:t>
                    </w:r>
                  </w:p>
                </w:tc>
              </w:tr>
              <w:tr>
                <w:trPr>
                  <w:tblCellSpacing w:w="0" w:type="dxa"/>
                </w:trPr>
                <w:tc>
                  <w:tcPr>
                    <w:vAlign w:val="center"/>
                  </w:tcPr>
                  <w:p>
                    <w:pPr>
                      <w:spacing w:after="160"/>
                    </w:pPr>
                    <w:r>
                      <w:t xml:space="preserve">Miljø og byutvikling</w:t>
                    </w:r>
                  </w:p>
                </w:tc>
                <w:tc>
                  <w:tcPr>
                    <w:vAlign w:val="center"/>
                  </w:tcPr>
                  <w:p>
                    <w:pPr>
                      <w:spacing w:after="160"/>
                    </w:pPr>
                    <w:r>
                      <w:t xml:space="preserve">7 426</w:t>
                    </w:r>
                  </w:p>
                </w:tc>
              </w:tr>
              <w:tr>
                <w:trPr>
                  <w:tblCellSpacing w:w="0" w:type="dxa"/>
                </w:trPr>
                <w:tc>
                  <w:tcPr>
                    <w:vAlign w:val="center"/>
                  </w:tcPr>
                  <w:p>
                    <w:pPr>
                      <w:spacing w:after="160"/>
                    </w:pPr>
                    <w:r>
                      <w:t xml:space="preserve">Ikke fordelte utgifter/inntekter</w:t>
                    </w:r>
                  </w:p>
                </w:tc>
                <w:tc>
                  <w:tcPr>
                    <w:vAlign w:val="center"/>
                  </w:tcPr>
                  <w:p>
                    <w:pPr>
                      <w:spacing w:after="160"/>
                    </w:pPr>
                    <w:r>
                      <w:t xml:space="preserve">-93 000</w:t>
                    </w:r>
                  </w:p>
                </w:tc>
              </w:tr>
              <w:tr>
                <w:trPr>
                  <w:tblCellSpacing w:w="0" w:type="dxa"/>
                </w:trPr>
                <w:tc>
                  <w:tcPr>
                    <w:vAlign w:val="center"/>
                  </w:tcPr>
                  <w:p>
                    <w:pPr>
                      <w:spacing w:after="160"/>
                    </w:pPr>
                    <w:r>
                      <w:t xml:space="preserve">Frie inntekter og utgifter</w:t>
                    </w:r>
                  </w:p>
                </w:tc>
                <w:tc>
                  <w:tcPr>
                    <w:vAlign w:val="center"/>
                  </w:tcPr>
                  <w:p>
                    <w:pPr>
                      <w:spacing w:after="160"/>
                    </w:pPr>
                    <w:r>
                      <w:t xml:space="preserve">-25 592</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0</w:t>
                    </w:r>
                  </w:p>
                </w:tc>
              </w:tr>
            </w:tbl>
            <w:p>
              <w:pPr>
                <w:pStyle w:val="ListParagraph"/>
                <w:numPr>
                  <w:ilvl w:val="0"/>
                  <w:numId w:val="2"/>
                </w:numPr>
                <w:spacing w:after="160"/>
              </w:pPr>
              <w:r>
                <w:t xml:space="preserve">Følgende budsjettjusteringer gjøres i investeringsbudsjettet: </w:t>
              </w:r>
            </w:p>
            <w:tbl>
              <w:tblPr>
                <w:tblStyle w:val="TableGrid"/>
                <w:tblW w:w="0" w:type="auto"/>
                <w:tblLook w:firstRow="false" w:lastRow="false" w:firstColumn="false" w:lastColumn="false"/>
              </w:tblPr>
              <w:tblGrid>
                <w:gridCol/>
                <w:gridCol/>
                <w:gridCol/>
              </w:tblGrid>
              <w:tr>
                <w:trPr>
                  <w:tblCellSpacing w:w="0" w:type="dxa"/>
                </w:trPr>
                <w:tc>
                  <w:tcPr>
                    <w:shd w:val="clear" w:color="auto" w:fill="4C99E6"/>
                    <w:vAlign w:val="center"/>
                  </w:tcPr>
                  <w:p>
                    <w:pPr>
                      <w:spacing w:after="160"/>
                    </w:pPr>
                    <w:r>
                      <w:rPr>
                        <w:b/>
                        <w:shd w:val="clear" w:fill="4C99E6"/>
                      </w:rPr>
                      <w:t xml:space="preserve">Hovedprosjekt</w:t>
                    </w:r>
                  </w:p>
                </w:tc>
                <w:tc>
                  <w:tcPr>
                    <w:shd w:val="clear" w:color="auto" w:fill="4C99E6"/>
                    <w:vAlign w:val="center"/>
                  </w:tcPr>
                  <w:p>
                    <w:pPr>
                      <w:spacing w:after="160"/>
                    </w:pPr>
                    <w:r>
                      <w:rPr>
                        <w:b/>
                        <w:shd w:val="clear" w:fill="4C99E6"/>
                      </w:rPr>
                      <w:t xml:space="preserve">Beløp endring i 1000 kr</w:t>
                    </w:r>
                  </w:p>
                </w:tc>
                <w:tc>
                  <w:tcPr>
                    <w:shd w:val="clear" w:color="auto" w:fill="4C99E6"/>
                    <w:vAlign w:val="center"/>
                  </w:tcPr>
                  <w:p>
                    <w:pPr>
                      <w:spacing w:after="160"/>
                    </w:pPr>
                    <w:r>
                      <w:rPr>
                        <w:b/>
                        <w:shd w:val="clear" w:fill="4C99E6"/>
                      </w:rPr>
                      <w:t xml:space="preserve">Kommentar</w:t>
                    </w:r>
                  </w:p>
                </w:tc>
              </w:tr>
              <w:tr>
                <w:trPr>
                  <w:tblCellSpacing w:w="0" w:type="dxa"/>
                </w:trPr>
                <w:tc>
                  <w:tcPr>
                    <w:vAlign w:val="center"/>
                  </w:tcPr>
                  <w:p>
                    <w:pPr>
                      <w:spacing w:after="160"/>
                    </w:pPr>
                    <w:r>
                      <w:t xml:space="preserve">Innkjøp av robotgulvvaskemaskiner</w:t>
                    </w:r>
                  </w:p>
                </w:tc>
                <w:tc>
                  <w:tcPr>
                    <w:vAlign w:val="center"/>
                  </w:tcPr>
                  <w:p>
                    <w:pPr>
                      <w:spacing w:after="160"/>
                    </w:pPr>
                    <w:r>
                      <w:t xml:space="preserve">1 000</w:t>
                    </w:r>
                  </w:p>
                </w:tc>
                <w:tc>
                  <w:tcPr>
                    <w:vAlign w:val="center"/>
                  </w:tcPr>
                  <w:p>
                    <w:pPr>
                      <w:spacing w:after="160"/>
                    </w:pPr>
                    <w:r>
                      <w:t xml:space="preserve">Behov for innkjøp av større robotgulvvaskemaskiner til store og krevende arealer. Positiv driftkonsekvens</w:t>
                    </w:r>
                  </w:p>
                </w:tc>
              </w:tr>
              <w:tr>
                <w:trPr>
                  <w:tblCellSpacing w:w="0" w:type="dxa"/>
                </w:trPr>
                <w:tc>
                  <w:tcPr>
                    <w:vAlign w:val="center"/>
                  </w:tcPr>
                  <w:p>
                    <w:pPr>
                      <w:spacing w:after="160"/>
                    </w:pPr>
                    <w:r>
                      <w:t xml:space="preserve">Finansiering</w:t>
                    </w:r>
                  </w:p>
                </w:tc>
                <w:tc>
                  <w:tcPr>
                    <w:vAlign w:val="center"/>
                  </w:tcPr>
                  <w:p>
                    <w:pPr>
                      <w:spacing w:after="160"/>
                    </w:pPr>
                    <w:r>
                      <w:t xml:space="preserve">-813</w:t>
                    </w:r>
                  </w:p>
                </w:tc>
                <w:tc>
                  <w:tcPr>
                    <w:vAlign w:val="center"/>
                  </w:tcPr>
                  <w:p>
                    <w:pPr>
                      <w:spacing w:after="160"/>
                    </w:pPr>
                    <w:r>
                      <w:t xml:space="preserve">Bruk av lån</w:t>
                    </w:r>
                  </w:p>
                </w:tc>
              </w:tr>
              <w:tr>
                <w:trPr>
                  <w:tblCellSpacing w:w="0" w:type="dxa"/>
                </w:trPr>
                <w:tc>
                  <w:tcPr>
                    <w:vAlign w:val="center"/>
                  </w:tcPr>
                  <w:p>
                    <w:pPr>
                      <w:spacing w:after="160"/>
                    </w:pPr>
                    <w:r>
                      <w:t xml:space="preserve">Finansiering</w:t>
                    </w:r>
                  </w:p>
                </w:tc>
                <w:tc>
                  <w:tcPr>
                    <w:vAlign w:val="center"/>
                  </w:tcPr>
                  <w:p>
                    <w:pPr>
                      <w:spacing w:after="160"/>
                    </w:pPr>
                    <w:r>
                      <w:t xml:space="preserve">-187</w:t>
                    </w:r>
                  </w:p>
                </w:tc>
                <w:tc>
                  <w:tcPr>
                    <w:vAlign w:val="center"/>
                  </w:tcPr>
                  <w:p>
                    <w:pPr>
                      <w:spacing w:after="160"/>
                    </w:pPr>
                    <w:r>
                      <w:t xml:space="preserve">Mva-kompensasjon</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0</w:t>
                    </w:r>
                  </w:p>
                </w:tc>
                <w:tc>
                  <w:tcPr>
                    <w:vAlign w:val="center"/>
                  </w:tcPr>
                  <w:p>
                    <w:pPr>
                      <w:spacing w:after="160"/>
                    </w:pPr>
                    <w:r>
                      <w:t xml:space="preserve"> </w:t>
                    </w:r>
                  </w:p>
                </w:tc>
              </w:tr>
            </w:tbl>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Kommunedirektøren skal minst to ganger i året rapportere til bystyret om utviklingen av inntekter og utgifter, sammenholdt med årsbudsjettet (Kommunelovens § 14-5, 3. ledd)., samt rapportere to ganger pr år om forvaltningen av finansielle midler og gjeld (Kommunelovens § 14-13 3. ledd). Rapporten inneholder økonomi status for driften i rammeområdene, slik som i månedsrapportene. I tillegg inneholder tertialrapporten oppdatert status for sentrale inntekter og investeringer, samt finansrapport. Det rapporteres også om organisasjonsutvikling og status for oppfølging av verbalvedtak vedtatt i budsjettbehandlingen.</w:t>
              </w:r>
            </w:p>
            <w:p>
              <w:pPr>
                <w:spacing w:after="160"/>
              </w:pPr>
              <w:r>
                <w:t xml:space="preserve">Rapporten i sin helhet er utarbeidet i en web-versjon som ligger tilgjengelig på kommunens hjemmeside. </w:t>
              </w:r>
              <w:hyperlink w:history="true" r:id="R4504672ba6db4626">
                <w:r>
                  <w:rPr>
                    <w:rStyle w:val="Hyperlink"/>
                  </w:rPr>
                  <w:t xml:space="preserve">Trykk her for å komme til web-versjonen: </w:t>
                </w:r>
              </w:hyperlink>
            </w:p>
          </w:sdtContent>
        </w:sdt>
        <w:sdt>
          <w:sdtPr>
            <w:alias w:val="SaksTekst"/>
            <w:tag w:val="SaksTekst"/>
            <w:id w:val="-1309477531"/>
          </w:sdtPr>
          <w:sdtContent>
            <w:p>
              <w:pPr>
                <w:spacing w:after="160"/>
              </w:pPr>
              <w:r>
                <w:t xml:space="preserve"> </w:t>
              </w:r>
            </w:p>
            <w:p>
              <w:pPr>
                <w:spacing w:after="160"/>
              </w:pPr>
              <w:r>
                <w:rPr>
                  <w:b/>
                </w:rPr>
                <w:t xml:space="preserve">Saksfremstilling</w:t>
              </w:r>
            </w:p>
            <w:p>
              <w:pPr>
                <w:spacing w:after="160"/>
              </w:pPr>
              <w:r>
                <w:rPr>
                  <w:b/>
                </w:rPr>
                <w:t xml:space="preserve">Oppsummering sentrale poster:</w:t>
              </w:r>
            </w:p>
            <w:p>
              <w:pPr>
                <w:spacing w:after="160"/>
              </w:pPr>
              <w:r>
                <w:t xml:space="preserve">Administrasjon har i 2026 arbeidet med å følge opp det vedtatte budsjettet, som blant annet inneholdt videreføring og realisering av tiltak fra bærekraftig økonomi. </w:t>
              </w:r>
              <w:r>
                <w:br/>
              </w:r>
              <w:r>
                <w:t xml:space="preserve">De fleste områdene er i rute og innen vedtatte rammer, men noen justering av gjennomføring av tiltak og tilpasninger av rammer er nødvendig. Derfor blir det foreslått noen justeringer, samt utsettelser på enkelte tiltak. Prognosen meldt inn samlet fra områdene er et merforbruk. Totalt meldes det om en prognose på merforbruk på nærmere 35 mill. kroner. Denne prognosen reduseres til et samlet antatt merforbuk pr. nå  ca 21 mill. kroner ved vedtak av foreslåtte endringer i budsjettet. </w:t>
              </w:r>
              <w:r>
                <w:br/>
              </w:r>
              <w:r>
                <w:br/>
              </w:r>
              <w:r>
                <w:t xml:space="preserve">Det er fremdeles tidlig nok på året til å gjøre grep for en økonomi og rammer innen de enkelte områder i balanse, samt at flere ikke melder prognoser om mindreforbruk, men dette tyder at jobben med å holde kontroll på økonomien må intensiveres. </w:t>
              </w:r>
            </w:p>
            <w:p>
              <w:pPr>
                <w:spacing w:after="160"/>
              </w:pPr>
              <w:r>
                <w:t xml:space="preserve">Kommunedirektøren foreslår i hovedsak budsjettjusteringer på områder hvor det er eksterne forhold som tilsier budsjettjustering, der det er fattet vedtak i bystyret med budsjettmessige konsekvenser eller andre forhold som følge av ny informasjon og endringer i forutsetninger fra da budsjettet ble vedtatt . </w:t>
              </w:r>
            </w:p>
            <w:p>
              <w:pPr>
                <w:spacing w:after="160"/>
              </w:pPr>
              <w:r>
                <w:t xml:space="preserve">Av sentrale inntekter vil det bli gjort en større korrigering med mindre forventet inntekter fra tilskuddsordning for særlig ressurskrevende helse- og omsorgstjenester i kommunene, men også reduserte kostnader mot pensjon, avdrag og større utbytte fra Skagerak energi enn budsjettert som slår positivt inn. </w:t>
              </w:r>
              <w:r>
                <w:br/>
              </w:r>
              <w:r>
                <w:t xml:space="preserve">PU (Porsgrunn Utvikling) melder om at det ikke blir utbytte i år, altså en reduksjon på inntekter på 5 mill. kroner. Totalt innebærer endringene økt avsetning på fond med 3,4 mill. kroner. </w:t>
              </w:r>
            </w:p>
            <w:p>
              <w:pPr>
                <w:spacing w:after="160"/>
              </w:pPr>
              <w:r>
                <w:rPr>
                  <w:b/>
                </w:rPr>
                <w:t xml:space="preserve">Oppsummering drift:</w:t>
              </w:r>
            </w:p>
            <w:tbl>
              <w:tblPr>
                <w:tblStyle w:val="TableGrid"/>
                <w:tblW w:w="9000" w:type="dxa"/>
                <w:tblLayout w:type="fixed"/>
                <w:tblLook w:firstRow="false" w:lastRow="false" w:firstColumn="false" w:lastColumn="false"/>
              </w:tblPr>
              <w:tblGrid>
                <w:gridCol w:w="1962.9"/>
                <w:gridCol w:w="1327.5"/>
                <w:gridCol w:w="1357.2"/>
                <w:gridCol w:w="1386.9"/>
                <w:gridCol w:w="1310.4"/>
                <w:gridCol w:w="1655.1"/>
              </w:tblGrid>
              <w:tr>
                <w:trPr>
                  <w:tblCellSpacing w:w="0" w:type="dxa"/>
                </w:trPr>
                <w:tc>
                  <w:tcPr>
                    <w:shd w:val="clear" w:color="auto" w:fill="4C99E6"/>
                    <w:vAlign w:val="center"/>
                  </w:tcPr>
                  <w:p>
                    <w:pPr>
                      <w:spacing w:after="160"/>
                    </w:pPr>
                    <w:r>
                      <w:rPr>
                        <w:b/>
                        <w:shd w:val="clear" w:fill="4C99E6"/>
                      </w:rPr>
                      <w:t xml:space="preserve">Rammeområde</w:t>
                    </w:r>
                  </w:p>
                </w:tc>
                <w:tc>
                  <w:tcPr>
                    <w:shd w:val="clear" w:color="auto" w:fill="4C99E6"/>
                    <w:vAlign w:val="center"/>
                  </w:tcPr>
                  <w:p>
                    <w:pPr>
                      <w:spacing w:after="160"/>
                    </w:pPr>
                    <w:r>
                      <w:rPr>
                        <w:b/>
                        <w:shd w:val="clear" w:fill="4C99E6"/>
                      </w:rPr>
                      <w:t xml:space="preserve">Regnskap hiå</w:t>
                    </w:r>
                  </w:p>
                </w:tc>
                <w:tc>
                  <w:tcPr>
                    <w:shd w:val="clear" w:color="auto" w:fill="4C99E6"/>
                    <w:vAlign w:val="center"/>
                  </w:tcPr>
                  <w:p>
                    <w:pPr>
                      <w:spacing w:after="160"/>
                    </w:pPr>
                    <w:r>
                      <w:rPr>
                        <w:b/>
                        <w:shd w:val="clear" w:fill="4C99E6"/>
                      </w:rPr>
                      <w:t xml:space="preserve">Budsjett hiå</w:t>
                    </w:r>
                  </w:p>
                </w:tc>
                <w:tc>
                  <w:tcPr>
                    <w:shd w:val="clear" w:color="auto" w:fill="4C99E6"/>
                    <w:vAlign w:val="center"/>
                  </w:tcPr>
                  <w:p>
                    <w:pPr>
                      <w:spacing w:after="160"/>
                    </w:pPr>
                    <w:r>
                      <w:rPr>
                        <w:b/>
                        <w:shd w:val="clear" w:fill="4C99E6"/>
                      </w:rPr>
                      <w:t xml:space="preserve">Årsbudsjett</w:t>
                    </w:r>
                  </w:p>
                </w:tc>
                <w:tc>
                  <w:tcPr>
                    <w:shd w:val="clear" w:color="auto" w:fill="4C99E6"/>
                    <w:vAlign w:val="center"/>
                  </w:tcPr>
                  <w:p>
                    <w:pPr>
                      <w:spacing w:after="160"/>
                    </w:pPr>
                    <w:r>
                      <w:rPr>
                        <w:b/>
                        <w:shd w:val="clear" w:fill="4C99E6"/>
                      </w:rPr>
                      <w:t xml:space="preserve">Siste prognose</w:t>
                    </w:r>
                  </w:p>
                </w:tc>
                <w:tc>
                  <w:tcPr>
                    <w:shd w:val="clear" w:color="auto" w:fill="4C99E6"/>
                    <w:vAlign w:val="center"/>
                  </w:tcPr>
                  <w:p>
                    <w:pPr>
                      <w:spacing w:after="160"/>
                    </w:pPr>
                    <w:r>
                      <w:rPr>
                        <w:b/>
                        <w:shd w:val="clear" w:fill="4C99E6"/>
                      </w:rPr>
                      <w:t xml:space="preserve">Avvik prognose</w:t>
                    </w:r>
                  </w:p>
                </w:tc>
              </w:tr>
              <w:tr>
                <w:trPr>
                  <w:tblCellSpacing w:w="0" w:type="dxa"/>
                </w:trPr>
                <w:tc>
                  <w:tcPr>
                    <w:vAlign w:val="center"/>
                  </w:tcPr>
                  <w:p>
                    <w:pPr>
                      <w:spacing w:after="160"/>
                    </w:pPr>
                    <w:r>
                      <w:t xml:space="preserve">Politikk og administrasjon</w:t>
                    </w:r>
                  </w:p>
                </w:tc>
                <w:tc>
                  <w:tcPr>
                    <w:vAlign w:val="center"/>
                  </w:tcPr>
                  <w:p>
                    <w:pPr>
                      <w:spacing w:after="160"/>
                    </w:pPr>
                    <w:r>
                      <w:t xml:space="preserve">74 625</w:t>
                    </w:r>
                  </w:p>
                </w:tc>
                <w:tc>
                  <w:tcPr>
                    <w:vAlign w:val="center"/>
                  </w:tcPr>
                  <w:p>
                    <w:pPr>
                      <w:spacing w:after="160"/>
                    </w:pPr>
                    <w:r>
                      <w:t xml:space="preserve">76 341</w:t>
                    </w:r>
                  </w:p>
                </w:tc>
                <w:tc>
                  <w:tcPr>
                    <w:vAlign w:val="center"/>
                  </w:tcPr>
                  <w:p>
                    <w:pPr>
                      <w:spacing w:after="160"/>
                    </w:pPr>
                    <w:r>
                      <w:t xml:space="preserve">187 899</w:t>
                    </w:r>
                  </w:p>
                </w:tc>
                <w:tc>
                  <w:tcPr>
                    <w:vAlign w:val="center"/>
                  </w:tcPr>
                  <w:p>
                    <w:pPr>
                      <w:spacing w:after="160"/>
                    </w:pPr>
                    <w:r>
                      <w:t xml:space="preserve">187 599</w:t>
                    </w:r>
                  </w:p>
                </w:tc>
                <w:tc>
                  <w:tcPr>
                    <w:vAlign w:val="center"/>
                  </w:tcPr>
                  <w:p>
                    <w:pPr>
                      <w:spacing w:after="160"/>
                    </w:pPr>
                    <w:r>
                      <w:t xml:space="preserve">300</w:t>
                    </w:r>
                  </w:p>
                </w:tc>
              </w:tr>
              <w:tr>
                <w:trPr>
                  <w:tblCellSpacing w:w="0" w:type="dxa"/>
                </w:trPr>
                <w:tc>
                  <w:tcPr>
                    <w:vAlign w:val="center"/>
                  </w:tcPr>
                  <w:p>
                    <w:pPr>
                      <w:spacing w:after="160"/>
                    </w:pPr>
                    <w:r>
                      <w:t xml:space="preserve">Barn, unge og kultur</w:t>
                    </w:r>
                  </w:p>
                </w:tc>
                <w:tc>
                  <w:tcPr>
                    <w:vAlign w:val="center"/>
                  </w:tcPr>
                  <w:p>
                    <w:pPr>
                      <w:spacing w:after="160"/>
                    </w:pPr>
                    <w:r>
                      <w:t xml:space="preserve">449 511</w:t>
                    </w:r>
                  </w:p>
                </w:tc>
                <w:tc>
                  <w:tcPr>
                    <w:vAlign w:val="center"/>
                  </w:tcPr>
                  <w:p>
                    <w:pPr>
                      <w:spacing w:after="160"/>
                    </w:pPr>
                    <w:r>
                      <w:t xml:space="preserve">455 673</w:t>
                    </w:r>
                  </w:p>
                </w:tc>
                <w:tc>
                  <w:tcPr>
                    <w:vAlign w:val="center"/>
                  </w:tcPr>
                  <w:p>
                    <w:pPr>
                      <w:spacing w:after="160"/>
                    </w:pPr>
                    <w:r>
                      <w:t xml:space="preserve">1 236 690</w:t>
                    </w:r>
                  </w:p>
                </w:tc>
                <w:tc>
                  <w:tcPr>
                    <w:vAlign w:val="center"/>
                  </w:tcPr>
                  <w:p>
                    <w:pPr>
                      <w:spacing w:after="160"/>
                    </w:pPr>
                    <w:r>
                      <w:t xml:space="preserve">1 250 990</w:t>
                    </w:r>
                  </w:p>
                </w:tc>
                <w:tc>
                  <w:tcPr>
                    <w:vAlign w:val="center"/>
                  </w:tcPr>
                  <w:p>
                    <w:pPr>
                      <w:spacing w:after="160"/>
                    </w:pPr>
                    <w:r>
                      <w:t xml:space="preserve">-14 300</w:t>
                    </w:r>
                  </w:p>
                </w:tc>
              </w:tr>
              <w:tr>
                <w:trPr>
                  <w:tblCellSpacing w:w="0" w:type="dxa"/>
                </w:trPr>
                <w:tc>
                  <w:tcPr>
                    <w:vAlign w:val="center"/>
                  </w:tcPr>
                  <w:p>
                    <w:pPr>
                      <w:spacing w:after="160"/>
                    </w:pPr>
                    <w:r>
                      <w:t xml:space="preserve">Helse og omsorg</w:t>
                    </w:r>
                  </w:p>
                </w:tc>
                <w:tc>
                  <w:tcPr>
                    <w:vAlign w:val="center"/>
                  </w:tcPr>
                  <w:p>
                    <w:pPr>
                      <w:spacing w:after="160"/>
                    </w:pPr>
                    <w:r>
                      <w:t xml:space="preserve">442 036</w:t>
                    </w:r>
                  </w:p>
                </w:tc>
                <w:tc>
                  <w:tcPr>
                    <w:vAlign w:val="center"/>
                  </w:tcPr>
                  <w:p>
                    <w:pPr>
                      <w:spacing w:after="160"/>
                    </w:pPr>
                    <w:r>
                      <w:t xml:space="preserve">436 279</w:t>
                    </w:r>
                  </w:p>
                </w:tc>
                <w:tc>
                  <w:tcPr>
                    <w:vAlign w:val="center"/>
                  </w:tcPr>
                  <w:p>
                    <w:pPr>
                      <w:spacing w:after="160"/>
                    </w:pPr>
                    <w:r>
                      <w:t xml:space="preserve">1 135 330</w:t>
                    </w:r>
                  </w:p>
                </w:tc>
                <w:tc>
                  <w:tcPr>
                    <w:vAlign w:val="center"/>
                  </w:tcPr>
                  <w:p>
                    <w:pPr>
                      <w:spacing w:after="160"/>
                    </w:pPr>
                    <w:r>
                      <w:t xml:space="preserve">1 154 580</w:t>
                    </w:r>
                  </w:p>
                </w:tc>
                <w:tc>
                  <w:tcPr>
                    <w:vAlign w:val="center"/>
                  </w:tcPr>
                  <w:p>
                    <w:pPr>
                      <w:spacing w:after="160"/>
                    </w:pPr>
                    <w:r>
                      <w:t xml:space="preserve">-19 250</w:t>
                    </w:r>
                  </w:p>
                </w:tc>
              </w:tr>
              <w:tr>
                <w:trPr>
                  <w:tblCellSpacing w:w="0" w:type="dxa"/>
                </w:trPr>
                <w:tc>
                  <w:tcPr>
                    <w:vAlign w:val="center"/>
                  </w:tcPr>
                  <w:p>
                    <w:pPr>
                      <w:spacing w:after="160"/>
                    </w:pPr>
                    <w:r>
                      <w:t xml:space="preserve">Miljø og byutvikling</w:t>
                    </w:r>
                  </w:p>
                </w:tc>
                <w:tc>
                  <w:tcPr>
                    <w:vAlign w:val="center"/>
                  </w:tcPr>
                  <w:p>
                    <w:pPr>
                      <w:spacing w:after="160"/>
                    </w:pPr>
                    <w:r>
                      <w:t xml:space="preserve">105 234</w:t>
                    </w:r>
                  </w:p>
                </w:tc>
                <w:tc>
                  <w:tcPr>
                    <w:vAlign w:val="center"/>
                  </w:tcPr>
                  <w:p>
                    <w:pPr>
                      <w:spacing w:after="160"/>
                    </w:pPr>
                    <w:r>
                      <w:t xml:space="preserve">107 788</w:t>
                    </w:r>
                  </w:p>
                </w:tc>
                <w:tc>
                  <w:tcPr>
                    <w:vAlign w:val="center"/>
                  </w:tcPr>
                  <w:p>
                    <w:pPr>
                      <w:spacing w:after="160"/>
                    </w:pPr>
                    <w:r>
                      <w:t xml:space="preserve">241 996</w:t>
                    </w:r>
                  </w:p>
                </w:tc>
                <w:tc>
                  <w:tcPr>
                    <w:vAlign w:val="center"/>
                  </w:tcPr>
                  <w:p>
                    <w:pPr>
                      <w:spacing w:after="160"/>
                    </w:pPr>
                    <w:r>
                      <w:t xml:space="preserve">243 496</w:t>
                    </w:r>
                  </w:p>
                </w:tc>
                <w:tc>
                  <w:tcPr>
                    <w:vAlign w:val="center"/>
                  </w:tcPr>
                  <w:p>
                    <w:pPr>
                      <w:spacing w:after="160"/>
                    </w:pPr>
                    <w:r>
                      <w:t xml:space="preserve">-1 500</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1 071 406</w:t>
                    </w:r>
                  </w:p>
                </w:tc>
                <w:tc>
                  <w:tcPr>
                    <w:vAlign w:val="center"/>
                  </w:tcPr>
                  <w:p>
                    <w:pPr>
                      <w:spacing w:after="160"/>
                    </w:pPr>
                    <w:r>
                      <w:rPr>
                        <w:b/>
                      </w:rPr>
                      <w:t xml:space="preserve">1 076 080</w:t>
                    </w:r>
                  </w:p>
                </w:tc>
                <w:tc>
                  <w:tcPr>
                    <w:vAlign w:val="center"/>
                  </w:tcPr>
                  <w:p>
                    <w:pPr>
                      <w:spacing w:after="160"/>
                    </w:pPr>
                    <w:r>
                      <w:rPr>
                        <w:b/>
                      </w:rPr>
                      <w:t xml:space="preserve">2 801 915</w:t>
                    </w:r>
                  </w:p>
                </w:tc>
                <w:tc>
                  <w:tcPr>
                    <w:vAlign w:val="center"/>
                  </w:tcPr>
                  <w:p>
                    <w:pPr>
                      <w:spacing w:after="160"/>
                    </w:pPr>
                    <w:r>
                      <w:rPr>
                        <w:b/>
                      </w:rPr>
                      <w:t xml:space="preserve">2 836 665</w:t>
                    </w:r>
                  </w:p>
                </w:tc>
                <w:tc>
                  <w:tcPr>
                    <w:vAlign w:val="center"/>
                  </w:tcPr>
                  <w:p>
                    <w:pPr>
                      <w:spacing w:after="160"/>
                    </w:pPr>
                    <w:r>
                      <w:rPr>
                        <w:b/>
                      </w:rPr>
                      <w:t xml:space="preserve">-34 750</w:t>
                    </w:r>
                  </w:p>
                </w:tc>
              </w:tr>
            </w:tbl>
            <w:p>
              <w:pPr>
                <w:spacing w:after="160"/>
              </w:pPr>
              <w:r>
                <w:t xml:space="preserve"> </w:t>
              </w:r>
            </w:p>
            <w:p>
              <w:pPr>
                <w:spacing w:after="160"/>
              </w:pPr>
              <w:r>
                <w:rPr>
                  <w:b/>
                </w:rPr>
                <w:t xml:space="preserve">Politikk og administrasjon</w:t>
              </w:r>
            </w:p>
            <w:p>
              <w:pPr>
                <w:spacing w:after="160"/>
              </w:pPr>
              <w:r>
                <w:t xml:space="preserve">De sentrale støtte- og styringsområdene har gjennomgående god økonomikontroll, med mindreforbruk i starten av året og forventning om balanse ved årsslutt. Politikkområdet og kommunedirektørens stab rapporterer mindreforbruk, men med noe usikkerhet knyttet til enkelte kostnader og aktivitetsnivå fremover. HR og organisasjon har en positiv økonomisk situasjon, blant annet som følge av tilbakebetalinger og vakanser, men vil få en engangskostnad knyttet til dokumentsanering som krever intern budsjettjustering. Økonomi og strategi følger i hovedsak planlagt drift, men påvirkes av usikkerhet knyttet til juridiske kostnader og økte lisensutgifter. Tilskudd til kirkelige fellesråd utbetales som vedtatt, og forbedringsarbeid håndteres innenfor eksisterende rammer. Samlet sett vurderes økonomien som under kontroll, med enkelte forhold som må følges opp videre i året.</w:t>
              </w:r>
            </w:p>
            <w:p>
              <w:pPr>
                <w:spacing w:after="160"/>
              </w:pPr>
              <w:r>
                <w:t xml:space="preserve">Det er ett forslag til justering av rammen på rammeområdet, og det skyldes flytting av en stilling fra helse. </w:t>
              </w:r>
            </w:p>
            <w:p>
              <w:pPr>
                <w:spacing w:after="160"/>
              </w:pPr>
              <w:r>
                <w:rPr>
                  <w:b/>
                </w:rPr>
                <w:t xml:space="preserve">Barn, unge og kultur</w:t>
              </w:r>
            </w:p>
            <w:p>
              <w:pPr>
                <w:spacing w:after="160"/>
              </w:pPr>
              <w:r>
                <w:t xml:space="preserve">Status per 1. tertial varierer noe mellom enhetene. Det er noen enheter som har hatt utfordringer med å få budsjettet til å gå i balanse i år. Dette gjelder primært enkeltskoler og PP-tjenesten. De forskjellige utfordringene kan leses i områdeledernes rapport under hvert rammeområde, men i stor grad handler det om helserettede tiltak i grunnskole og barnehage. Vi ser fremdeles en økende trend i utgiftene knyttet til §37 i barnehageloven om vedtak om individuelt tilrettelagt barnehagetilbud ved nedsatt funksjonsevne. Foreløpig foreslås en styrking av budsjettet til PPT på om lag 5 mill. kroner. Prognoseavviket anslås noe høyere, men det avventes ytterligere justering til nytt barnehageår. Oppdaterte prognoser på tilskudd til private barnehager tilsier et merforbruk på om lag 5 mill. kroner, men justering avventes til 2. tertial. </w:t>
              </w:r>
            </w:p>
            <w:p>
              <w:pPr>
                <w:spacing w:after="160"/>
              </w:pPr>
              <w:r>
                <w:t xml:space="preserve">Det foreslås å skyve på forventet innsparing i rammen på 5,9 mill. kroner knyttet til oppdatert framdrift skole- og barnehagestruktur. Kompensasjon for helårseffekt av redusert oppholdsbetaling i barnehagene forslås justert med 4,6 mill. kroner, samt en teknisk flytting av 4,5 mill. kroner fra Kultur til Bygg og eiendomsdrift som følger av omorganiseringer. </w:t>
              </w:r>
            </w:p>
            <w:p>
              <w:pPr>
                <w:spacing w:after="160"/>
              </w:pPr>
              <w:r>
                <w:t xml:space="preserve">Det jobbes målrettet med å prøve å få ned utgiftene, men det er en risiko for merforbruk i noen av tjenestene (spesielt PPT og grunnskole). Det ser ut til at det er noen positive tendenser i andre deler av rammeområdet, og det er høyst sannsynlig prognoser om mindreforbruk som enda ikke er helt konkretisert. Det følges nøye med, og et mer nøyaktig anslag vil komme i løpet av høsten når enkelte tiltak fra nytt barnehage- og skoleår har fått effektuert seg.</w:t>
              </w:r>
            </w:p>
            <w:p>
              <w:pPr>
                <w:spacing w:after="160"/>
              </w:pPr>
              <w:r>
                <w:rPr>
                  <w:b/>
                </w:rPr>
                <w:t xml:space="preserve">Helse og omsorg</w:t>
              </w:r>
            </w:p>
            <w:p>
              <w:pPr>
                <w:spacing w:after="160"/>
              </w:pPr>
              <w:r>
                <w:t xml:space="preserve">Helse og omsorg har et presset økonomisk bilde med både mer- og mindreforbruk, og flere usikkerheter fremover. Hjemmetjenestene og miljøarbeidertjenesten har betydelige merforbruk, særlig knyttet til høyt bemanningsbehov og økende, krevende brukerbehov. Lege- og institusjonstjenestene ligger også an til merforbruk ved årsslutt uten nye tiltak. Samtidig har flere områder midlertidige avvik som forventes å jevne seg ut, og enkelte tjenester styrer mot balanse. Samlet sett er økonomien sårbar, og videre balanse vil avhenge av tiltak, refusjoner og utviklingen i tjenestebehovet.</w:t>
              </w:r>
            </w:p>
            <w:p>
              <w:pPr>
                <w:spacing w:after="160"/>
              </w:pPr>
              <w:r>
                <w:t xml:space="preserve">Det foreslås justeringer på totalt 99 mill. kroner på dette rammeområdet. 92 mill. kroner er knyttet til flytting og redusering av forventede refusjonsinntekter. Videre styrkes budsjettet til VTA plass med 250 000kr, Barneteamet forlenges med budsjett på 3,7 mill. kroner, det etableres en forsterket enhet på Vestsiden sykehjem til 2,6 mill. kroner, innsparingstiltaket som handlet om reduksjon av driften på trygghetsavdelingen justeres ned, og det gjøres en midlertidig styrking av Tildelings- og koordineringkontoret med 450 000kr. </w:t>
              </w:r>
            </w:p>
            <w:p>
              <w:pPr>
                <w:spacing w:after="160"/>
              </w:pPr>
              <w:r>
                <w:rPr>
                  <w:b/>
                </w:rPr>
                <w:t xml:space="preserve">Miljø og byutvikling</w:t>
              </w:r>
            </w:p>
            <w:p>
              <w:pPr>
                <w:spacing w:after="160"/>
              </w:pPr>
              <w:r>
                <w:t xml:space="preserve">Rammeområdet har samlet sett kontroll på økonomien, men inntektene er preget av lav aktivitet i byggebransjen og betydelig usikkerhet. Både Byggesak og Geodata opplever svikt i gebyrinntekter som følge av lav saksmengde og endrede sakstyper. Samtidig er utgiftene generelt under kontroll, selv om enkelte kostnader som lisenser og saksomkostninger har økt. Kommunalteknikk forventer balanse, mens bygg- og eiendomsdrift har avvik knyttet til blant annet sykefravær, energiutgifter og periodisering, samt behov for budsjettjusteringer knyttet til nye tiltak og organisatoriske endringer. Innen samfunnssikkerhet er tilskudd i hovedsak i tråd med vedtak, men det er behov for å justere rammen med 345 000kr for å dekke tilskudd til Klima og miljøberedskapen, som fra i år ikke er med i det beregnede tilskuddet til GBR. I tillegg foreslås Bygg og eiendomsdrift styrket med 1 mill. kroner til prosjektlederstilling for å unngå innleie, og tiltakene med ungdomshus i Jernbanegata 7 og engasjementstillingen knyttet til bosetting av flyktninger foreslås videreført i 2026. Scanningprosjektet på Geodata er forsinket, og 480 000kr for sluttføring i 2026 foreslås justert inn. </w:t>
              </w:r>
            </w:p>
            <w:p>
              <w:pPr>
                <w:spacing w:after="160"/>
              </w:pPr>
              <w:r>
                <w:rPr>
                  <w:b/>
                </w:rPr>
                <w:t xml:space="preserve">Oppsummering investering</w:t>
              </w:r>
            </w:p>
            <w:p>
              <w:pPr>
                <w:spacing w:after="160"/>
              </w:pPr>
              <w:r>
                <w:t xml:space="preserve">Det rapporteres om fremdrift og økonomi i henhold til plan på de fleste investeringsprosjektene hittil i 2026. Det er under 10% budsjettoppnåelse pr 1. tertial, men ofte påløper det større utgifter utover året. Det foreslås én justering av investeringene i denne rapporten, og det er en økning på 1 mill. kroner på prosjekt 6975 Innkjøp av robotgulvvaskemaskiner. Denne finansieres med mva-kompensasjon og økt bruk av lån.</w:t>
              </w:r>
            </w:p>
            <w:p>
              <w:pPr>
                <w:spacing w:after="160"/>
              </w:pP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01ce01e45998477e" /><Relationship Type="http://schemas.openxmlformats.org/officeDocument/2006/relationships/hyperlink" Target="https://pub.framsikt.net/2026/porsgrunn/mr-202604-1_2026" TargetMode="External" Id="R4504672ba6db46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1. tertial 2026 Porsgrunn kommune</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