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26/3765</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5</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Terje Madsen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05.05.2026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Innkalling til representantskapsmøte i Grenland brann og redning IKS 08.06.26</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Porsgrunn kommunes representanter i representantskapet i GBR IKS instrueres til å foreslå og stemme som følger ved behandling av følgende saker på representantskapsmøtet 08.06.26:</w:t>
              </w:r>
            </w:p>
            <w:p>
              <w:pPr>
                <w:spacing w:after="160"/>
              </w:pPr>
              <w:r>
                <w:t xml:space="preserve">Sak 02/26:</w:t>
              </w:r>
            </w:p>
            <w:p>
              <w:pPr>
                <w:spacing w:after="160"/>
              </w:pPr>
              <w:r>
                <w:t xml:space="preserve">Endre punkt 2 til </w:t>
              </w:r>
              <w:r>
                <w:rPr>
                  <w:i/>
                </w:rPr>
                <w:t xml:space="preserve">"2.    Det udekkede merforbruket overføres til inndekking senere år."</w:t>
              </w:r>
            </w:p>
            <w:p>
              <w:pPr>
                <w:spacing w:after="160"/>
              </w:pPr>
              <w:r>
                <w:t xml:space="preserve">Nytt punkt "</w:t>
              </w:r>
              <w:r>
                <w:rPr>
                  <w:i/>
                </w:rPr>
                <w:t xml:space="preserve">5. Representantskapet ber om å få seg forelagt en sak høsten 2026, hvor inndekking av merforbruket vises, herunder forslag til effektiviseringstiltak i GBR." </w:t>
              </w:r>
            </w:p>
            <w:p>
              <w:pPr>
                <w:spacing w:after="160"/>
              </w:pPr>
              <w:r>
                <w:t xml:space="preserve">Sak 03/26:</w:t>
              </w:r>
            </w:p>
            <w:p>
              <w:pPr>
                <w:spacing w:after="160"/>
              </w:pPr>
              <w:r>
                <w:rPr>
                  <w:i/>
                </w:rPr>
                <w:t xml:space="preserve">"Sak 03/26 utsettes til høsten 2026."</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Saken kommer til behandling fordi representantskapsmøtet skal behandle to saker hvor representantskapet bes ta stilling til økt eierbidrag fra eierkommunene til Grenland brann og redning IKS(GBR).</w:t>
              </w:r>
            </w:p>
            <w:p>
              <w:pPr>
                <w:spacing w:after="160"/>
              </w:pPr>
              <w:r>
                <w:t xml:space="preserve">For at formannskapet skal ha mulighet til å utøve sin eierstyring, må innkallingen til dette representantskapsmøtet legges fram for formannskapet før representantskapsmøtet avholdes.  Da vil formannskapet få anledning til å instruere kommunens representanter ved behandlingen i representantskapet.</w:t>
              </w:r>
            </w:p>
          </w:sdtContent>
        </w:sdt>
        <w:sdt>
          <w:sdtPr>
            <w:alias w:val="SaksTekst"/>
            <w:tag w:val="SaksTekst"/>
            <w:id w:val="-1309477531"/>
          </w:sdtPr>
          <w:sdtContent>
            <w:p>
              <w:pPr>
                <w:spacing w:after="160"/>
              </w:pPr>
              <w:r>
                <w:rPr>
                  <w:b/>
                </w:rPr>
                <w:t xml:space="preserve">Saksfremstilling</w:t>
              </w:r>
            </w:p>
            <w:p>
              <w:pPr>
                <w:spacing w:after="160"/>
              </w:pPr>
              <w:r>
                <w:rPr>
                  <w:b/>
                </w:rPr>
                <w:t xml:space="preserve">Porsgrunn kommune og GBR</w:t>
              </w:r>
            </w:p>
            <w:p>
              <w:pPr>
                <w:spacing w:after="160"/>
              </w:pPr>
              <w:r>
                <w:t xml:space="preserve">Porsgrunn kommune har en eierandel på 29,7 %.</w:t>
              </w:r>
              <w:r>
                <w:rPr>
                  <w:i/>
                </w:rPr>
                <w:t xml:space="preserve"> </w:t>
              </w:r>
            </w:p>
            <w:p>
              <w:pPr>
                <w:spacing w:after="160"/>
              </w:pPr>
              <w:r>
                <w:t xml:space="preserve">Porsgrunn kommunes medlemmer og varamedlemmer til representantskapet:</w:t>
              </w:r>
            </w:p>
            <w:p>
              <w:pPr>
                <w:spacing w:after="160"/>
              </w:pPr>
              <w:r>
                <w:t xml:space="preserve">Medlemmer:</w:t>
              </w:r>
            </w:p>
            <w:p>
              <w:pPr>
                <w:pStyle w:val="ListParagraph"/>
                <w:numPr>
                  <w:ilvl w:val="0"/>
                  <w:numId w:val="2"/>
                </w:numPr>
                <w:spacing w:after="160"/>
              </w:pPr>
              <w:r>
                <w:t xml:space="preserve">Janicke Andreassen</w:t>
              </w:r>
            </w:p>
            <w:p>
              <w:pPr>
                <w:pStyle w:val="ListParagraph"/>
                <w:numPr>
                  <w:ilvl w:val="0"/>
                  <w:numId w:val="2"/>
                </w:numPr>
                <w:spacing w:after="160"/>
              </w:pPr>
              <w:r>
                <w:t xml:space="preserve">Stine Stamland</w:t>
              </w:r>
            </w:p>
            <w:p>
              <w:pPr>
                <w:pStyle w:val="ListParagraph"/>
                <w:numPr>
                  <w:ilvl w:val="0"/>
                  <w:numId w:val="2"/>
                </w:numPr>
                <w:spacing w:after="160"/>
              </w:pPr>
              <w:r>
                <w:t xml:space="preserve">Håkon Stornes</w:t>
              </w:r>
            </w:p>
            <w:p>
              <w:pPr>
                <w:spacing w:after="160"/>
              </w:pPr>
              <w:r>
                <w:t xml:space="preserve"> Varamedlemmer:</w:t>
              </w:r>
            </w:p>
            <w:p>
              <w:pPr>
                <w:pStyle w:val="ListParagraph"/>
                <w:numPr>
                  <w:ilvl w:val="0"/>
                  <w:numId w:val="3"/>
                </w:numPr>
                <w:spacing w:after="160"/>
              </w:pPr>
              <w:r>
                <w:t xml:space="preserve">Mette Nord, Stian Aasoldsen</w:t>
              </w:r>
            </w:p>
            <w:p>
              <w:pPr>
                <w:pStyle w:val="ListParagraph"/>
                <w:numPr>
                  <w:ilvl w:val="0"/>
                  <w:numId w:val="3"/>
                </w:numPr>
                <w:spacing w:after="160"/>
              </w:pPr>
              <w:r>
                <w:t xml:space="preserve">Trond Ingebretsen, Nelly Olsen</w:t>
              </w:r>
            </w:p>
            <w:p>
              <w:pPr>
                <w:pStyle w:val="ListParagraph"/>
                <w:numPr>
                  <w:ilvl w:val="0"/>
                  <w:numId w:val="3"/>
                </w:numPr>
                <w:spacing w:after="160"/>
              </w:pPr>
              <w:r>
                <w:t xml:space="preserve">Jan Roger Barth, Siw Anett Hegna-Malmin</w:t>
              </w:r>
            </w:p>
            <w:p>
              <w:pPr>
                <w:spacing w:after="160"/>
              </w:pPr>
              <w:r>
                <w:rPr>
                  <w:b/>
                </w:rPr>
                <w:t xml:space="preserve">Saker til behandling på representantskapsmøte:</w:t>
              </w:r>
            </w:p>
            <w:p>
              <w:pPr>
                <w:spacing w:after="160"/>
              </w:pPr>
              <w:r>
                <w:t xml:space="preserve">Grenland Brann og redning IKS innkaller til representantskapsmøte for blant annet å behandle følgende saker: </w:t>
              </w:r>
            </w:p>
            <w:p>
              <w:pPr>
                <w:spacing w:after="160"/>
              </w:pPr>
              <w:r>
                <w:t xml:space="preserve">Sak 02/26 – Årsregnskap og årsberetning 2025</w:t>
              </w:r>
            </w:p>
            <w:p>
              <w:pPr>
                <w:spacing w:after="160"/>
              </w:pPr>
              <w:r>
                <w:t xml:space="preserve">Sak 03/26 – Justering av eiertilskudd som følge av økte pensjonsutgifter</w:t>
              </w:r>
            </w:p>
            <w:p>
              <w:pPr>
                <w:spacing w:after="160"/>
              </w:pPr>
              <w:r>
                <w:t xml:space="preserve"> </w:t>
              </w:r>
            </w:p>
            <w:p>
              <w:pPr>
                <w:spacing w:after="160"/>
              </w:pPr>
              <w:r>
                <w:rPr>
                  <w:u w:val="single"/>
                </w:rPr>
                <w:t xml:space="preserve">Ad Sak 02/26 - Årsregnskap og årsberetning 2025</w:t>
              </w:r>
            </w:p>
            <w:p>
              <w:pPr>
                <w:spacing w:after="160"/>
              </w:pPr>
              <w:r>
                <w:t xml:space="preserve">Styret foreslår følgende overfor representantskapet:</w:t>
              </w:r>
            </w:p>
            <w:p>
              <w:pPr>
                <w:pStyle w:val="ListParagraph"/>
                <w:numPr>
                  <w:ilvl w:val="0"/>
                  <w:numId w:val="4"/>
                </w:numPr>
                <w:spacing w:after="160"/>
              </w:pPr>
              <w:r>
                <w:t xml:space="preserve">Representantskapet godkjenner vedlagte regnskap for 2025, som viser et udekket merforbruk på kr. 12.390.701.</w:t>
              </w:r>
            </w:p>
            <w:p>
              <w:pPr>
                <w:pStyle w:val="ListParagraph"/>
                <w:numPr>
                  <w:ilvl w:val="0"/>
                  <w:numId w:val="4"/>
                </w:numPr>
                <w:spacing w:after="160"/>
              </w:pPr>
              <w:r>
                <w:t xml:space="preserve">Det udekkede merforbruket overføres til inndekking senere år, slik at eierkommunene dekker dette inn i 2026 i henhold til eierbrøk.</w:t>
              </w:r>
            </w:p>
            <w:p>
              <w:pPr>
                <w:pStyle w:val="ListParagraph"/>
                <w:numPr>
                  <w:ilvl w:val="0"/>
                  <w:numId w:val="4"/>
                </w:numPr>
                <w:spacing w:after="160"/>
              </w:pPr>
              <w:r>
                <w:t xml:space="preserve">Som følge av forskyvninger mellom år vedtas følgende budsjettendringer i investeringsbudsjettet for 2026 </w:t>
              </w:r>
              <w:r>
                <w:rPr>
                  <w:i/>
                </w:rPr>
                <w:t xml:space="preserve">(Tabell fremkommer av innkallingen)</w:t>
              </w:r>
            </w:p>
            <w:p>
              <w:pPr>
                <w:pStyle w:val="ListParagraph"/>
                <w:numPr>
                  <w:ilvl w:val="0"/>
                  <w:numId w:val="4"/>
                </w:numPr>
                <w:spacing w:after="160"/>
              </w:pPr>
              <w:r>
                <w:t xml:space="preserve">Representantskapet godkjenner vedlagte årsberetning for 2025</w:t>
              </w:r>
            </w:p>
            <w:p>
              <w:pPr>
                <w:spacing w:after="160"/>
              </w:pPr>
              <w:r>
                <w:t xml:space="preserve">Av saksutredningen fra styret fremkommer det et udekket merforbruk på kr. 12,39 MNOK etter at disposisjonsfondet er disponert fullt ut.</w:t>
              </w:r>
            </w:p>
            <w:p>
              <w:pPr>
                <w:spacing w:after="160"/>
              </w:pPr>
              <w:r>
                <w:t xml:space="preserve">Selskapet angir at det negative årsresultatet først og fremst skyldes konsekvensene av brannen på Skjerkøya med 2,5 MNOK, den pågående saken mot Ragn-Sells, samt en betydelig økning i pensjonsutgiftene. </w:t>
              </w:r>
            </w:p>
            <w:p>
              <w:pPr>
                <w:spacing w:after="160"/>
              </w:pPr>
              <w:r>
                <w:t xml:space="preserve">Pensjonsutgiftene angis å være 4,5 MNOK høyere i 2025, sammenlignet med 2024.  Selskapet opplyser at eierkommunene har fått de økte pensjonsutgiftene dekket gjennom økning av frie inntekter sommeren 2025. </w:t>
              </w:r>
            </w:p>
            <w:p>
              <w:pPr>
                <w:spacing w:after="160"/>
              </w:pPr>
              <w:r>
                <w:t xml:space="preserve">Utover dette angir selskapet personalsaker, tilrettelegging og nødvendige utviklings- og omstillingsprosesser som overgangskostnader for å etablere en hensiktsmessig organisering av det nye selskapet.  Disse kostnadene beløper seg til kr 4,5 MNOK, og antas i hovedsak å være engangskostnader.  Samtidig signaliseres det flere saker med tilretteleggingsbehov framover i tid.</w:t>
              </w:r>
            </w:p>
            <w:p>
              <w:pPr>
                <w:spacing w:after="160"/>
              </w:pPr>
              <w:r>
                <w:t xml:space="preserve">Som grunn for merforbruk oppgis også kostnader til vikar/overtidsbruk på 1,5 MNOK som følge av sykdom. </w:t>
              </w:r>
            </w:p>
            <w:p>
              <w:pPr>
                <w:spacing w:after="160"/>
              </w:pPr>
              <w:r>
                <w:t xml:space="preserve">Til sammen tallfestes årsaker til om lag kr. 13 MNOK.</w:t>
              </w:r>
            </w:p>
            <w:p>
              <w:pPr>
                <w:spacing w:after="160"/>
              </w:pPr>
              <w:r>
                <w:t xml:space="preserve">I tillegg har selskapet mottatt om lag kr. 10 MNOK i merinntekter utover budsjett.  Dette skyldes delvis refusjon for sykemeldinger og foreldrepermisjoner, som utgjør om lag kr. 5,9 MNOK.  Disse midlene henger sammen med det økte sykefraværet, og trolig vil disse midlene kunne dekke opp delvis for vikarbruk og overtid. I tillegg kommer refusjoner til Kommunalt oppgavefellesskap for klima og miljøberedskap, samt refusjon for OU-midler.  </w:t>
              </w:r>
            </w:p>
            <w:p>
              <w:pPr>
                <w:spacing w:after="160"/>
              </w:pPr>
              <w:r>
                <w:rPr>
                  <w:u w:val="single"/>
                </w:rPr>
                <w:t xml:space="preserve">Sak 03/26 – Justering av eiertilskudd som følge av økte pensjonsutgifter</w:t>
              </w:r>
            </w:p>
            <w:p>
              <w:pPr>
                <w:spacing w:after="160"/>
              </w:pPr>
              <w:r>
                <w:t xml:space="preserve">Styret foreslår følgende overfor representantskapet:</w:t>
              </w:r>
            </w:p>
            <w:p>
              <w:pPr>
                <w:pStyle w:val="ListParagraph"/>
                <w:numPr>
                  <w:ilvl w:val="0"/>
                  <w:numId w:val="5"/>
                </w:numPr>
                <w:spacing w:after="160"/>
              </w:pPr>
              <w:r>
                <w:t xml:space="preserve">Eierkommunenes driftstilskudd til selskapet økes med 5,6 millioner kroner fra 2026, som følge av økte pensjonsutgifter.</w:t>
              </w:r>
            </w:p>
            <w:p>
              <w:pPr>
                <w:pStyle w:val="ListParagraph"/>
                <w:numPr>
                  <w:ilvl w:val="0"/>
                  <w:numId w:val="5"/>
                </w:numPr>
                <w:spacing w:after="160"/>
              </w:pPr>
              <w:r>
                <w:t xml:space="preserve">Det økte driftstilskuddet fordeles mellom eierkommunene etter eierandel.</w:t>
              </w:r>
            </w:p>
            <w:p>
              <w:pPr>
                <w:spacing w:after="160"/>
              </w:pPr>
              <w:r>
                <w:t xml:space="preserve">For Porsgrunn kommune utgjør det kr. 1 662 000,-.</w:t>
              </w:r>
            </w:p>
            <w:p>
              <w:pPr>
                <w:spacing w:after="160"/>
              </w:pPr>
              <w:r>
                <w:t xml:space="preserve">Selskapet oppgir endringer i pensjonsregelverket, som ny offentlig AFP-ordning, nye regler for ansatte med særaldergrense, samt regnskapsføringen av dette, som årsaker til de økte kostnadene.  Disse kostnadene er ifølge selskapet økt med kr. 4,5 MNOK i 2025, sammenlignet med 2024.  Ifølge selskapet viser foreløpige beregninger fra KLP ytterligere kostnadsøkning i 2026 på 1,1 MNOK.</w:t>
              </w:r>
            </w:p>
            <w:p>
              <w:pPr>
                <w:spacing w:after="160"/>
              </w:pPr>
              <w:r>
                <w:t xml:space="preserve">Selskapet mener disse kostnadene må dekkes av eierkommunene, siden eierkommunene allerede har fått inndekning for disse kostnadene gjennom økning av rammetilskuddet, men ikke videreført inndekkingen til selskapet.</w:t>
              </w:r>
            </w:p>
            <w:p>
              <w:pPr>
                <w:spacing w:after="160"/>
              </w:pPr>
              <w:r>
                <w:rPr>
                  <w:b/>
                </w:rPr>
                <w:t xml:space="preserve">Kommunedirektørens vurdering</w:t>
              </w:r>
            </w:p>
            <w:p>
              <w:pPr>
                <w:spacing w:after="160"/>
              </w:pPr>
              <w:r>
                <w:t xml:space="preserve">Kommunedirektørene i alle eierkommunene drøftet innkallingen til representantskapsmøte i møte i kommunedirektørkollegiet den 05.05.26.</w:t>
              </w:r>
            </w:p>
            <w:p>
              <w:pPr>
                <w:spacing w:after="160"/>
              </w:pPr>
              <w:r>
                <w:t xml:space="preserve">Kommunedirektørene er samlet i sin oppfatning av at det er for tidlig å ta stilling til økning av eierbidraget til GBR, basert på den informasjonen som fremkommer av innkallingen.</w:t>
              </w:r>
            </w:p>
            <w:p>
              <w:pPr>
                <w:spacing w:after="160"/>
              </w:pPr>
              <w:r>
                <w:t xml:space="preserve">For dekning av kostnader til brannen på Skjerkøya, har representantskapet i sak 04/24 vedtatt en fiansiering for denne type saker.  Først skal det søkes skjønnsmidler fra Statsforvalter.  Dersom dette ikke dekker kostnadene skal disposisjonsfond benyttes.  Dersom selskapet går i underskudd, skal underskudd inntil kr. 500 000 dekkes av eierne etter eierbrøk.  Underskudd utover kr. 500 000, som følge av større hendelser og innsatser i eierkommunene, som brannen på Skjerkøya faller under, skal dekkes av skadelidte kommune.  I dette tilfellet vil det si Bamble kommune.</w:t>
              </w:r>
            </w:p>
            <w:p>
              <w:pPr>
                <w:spacing w:after="160"/>
              </w:pPr>
              <w:r>
                <w:t xml:space="preserve">Ut fra dette blir det feil å vedta i sak 02/26 at hele merforbuket på kr. 12,39 MNOK skal dekkes av eierne etter eierbrøk.</w:t>
              </w:r>
            </w:p>
            <w:p>
              <w:pPr>
                <w:spacing w:after="160"/>
              </w:pPr>
              <w:r>
                <w:t xml:space="preserve">De samme pensjonsutgiftene er omtalt både i sak 02/26 og sak 03/26.  Kommunedirektørene vurderer at det kan være rimelig å øke eierbidraget til GBR som følge av økte pensjonsutgifter, tilsvarende den økning kommunene selv har fått gjennom rammetilskuddet.  Kommunedirektørene har behov for noe tid til å fremskaffe hva dette beløpet er for 2025 og tilsvarende for 2026.</w:t>
              </w:r>
            </w:p>
            <w:p>
              <w:pPr>
                <w:spacing w:after="160"/>
              </w:pPr>
              <w:r>
                <w:t xml:space="preserve">Ellers nevner selskapet personalsaker, nødvendig utviklings- og omstillingsprosesser, samt tilrettelegging, som det kan komme mer av i tiden framover, som årsaker til økning i kostnader på 4,5 MNOK.  Dette utgjør 2,3 % av selskapets omsetning.  Selskapet omtaler ikke hvilke tiltak selskapet har iverksatt for å begrense merforbruket, eller hvilket mulighetsrom selskapet har for å dekke inn dette merforbruket selv. </w:t>
              </w:r>
            </w:p>
            <w:p>
              <w:pPr>
                <w:spacing w:after="160"/>
              </w:pPr>
              <w:r>
                <w:t xml:space="preserve">I sak 03/26, som kun omhandler økte pensjonsutgifter, er selskapet tydelig på at dersom pensjonsforpliktelsene ikke blir kompensert, vil det utfordre beredskapen i en tid hvor det er økte forventninger til samfunnssikkerhet og beredskap.</w:t>
              </w:r>
            </w:p>
            <w:p>
              <w:pPr>
                <w:spacing w:after="160"/>
              </w:pPr>
              <w:r>
                <w:t xml:space="preserve">Kommunedirektøren mener det er for tidlig å ta stilling til en økning av eierbidraget ved representantskapsmøtet 08.06.  Kommunedirektørene har normalt kontaktmøter med GBR i forkant av budsjettarbeidet for påfølgende år.  Etter kommunedirektørenes vurdering vil det være formålstjenlig at selskapet redegjør overfor kommunedirektørene i kontaktmøtet om merforbruket i 2025, hvilke tiltak selskapet har iverksatt for å redusere merforbruket, selskapets økonomiske handlingsrom, status på kostnader i forbindelse med brann på Ragn-Sells og de utestående fordringene i denne sammenheng.  Til dette møtet vil kommunedirektørene ha kunnskap om hvilken inndekning som er kommet gjennom rammetilskuddet for endringene i pensjonsregelverket.  I sum vil dette sette kommunedirektørene i bedre stand til å gi råd for hvordan merforbruket i GBR bør håndteres ved en ny sak til representantskapet etter at det har vært avholdt kontaktmøte på sensommeren.  Representantskapet vil da trolig kunne ta stilling til dette til høsten.</w:t>
              </w:r>
            </w:p>
            <w:p>
              <w:pPr>
                <w:spacing w:after="160"/>
              </w:pPr>
              <w:r>
                <w:rPr>
                  <w:b/>
                </w:rPr>
                <w:t xml:space="preserve">Konklusjon</w:t>
              </w:r>
            </w:p>
            <w:p>
              <w:pPr>
                <w:spacing w:after="160"/>
              </w:pPr>
              <w:r>
                <w:t xml:space="preserve">Administrasjonens konklusjon fremgår av forslag til vedtak.</w:t>
              </w:r>
            </w:p>
            <w:p>
              <w:pPr>
                <w:spacing w:after="160"/>
              </w:pPr>
              <w:r>
                <w:t xml:space="preserve"> </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Innkalling til representantskapsmøte 080626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 0226, Årsregnskap og årsberetning 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 0226, Vedlegg 1, Årsregnskap 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 0226, Vedlegg 2, Årsberetning 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 0226, Vedlegg 3, Revisjonsberetning 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 0326, Justering av eiertilskudd som følge av økte pensjonsutgifter</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 0326, Vedlegg 1, Fordeling pensjonskostnad mellom eierkommunene</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4">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 w:numId="4">
    <w:abstractNumId w:val="3"/>
    <w:lvlOverride w:ilvl="0">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a70cbd2137564b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Innkalling til representantskapsmøte i Grenland brann og redning IKS 08.06.26</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