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26/2392</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13</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Alf Ørjan Glesnes</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08.05.2026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Tildeling av tilskudd til brukerorganisasjoner innen helse-, omsorg eller sosialtjenesten for 2026</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Tildeling av tilskudd til brukerorganisasjoner innen helse-, omsorg eller sosialtjenesten for 2026 fordeles etter slik det kommer frem av tabellen under: Kolonne «Tildeles 2026»; Markert med fet og understreket skrift er krone beløp som tildeles tilhørende hver linje med organisasjon- eller foreningsnavn.</w:t>
              </w:r>
            </w:p>
            <w:tbl>
              <w:tblPr>
                <w:tblStyle w:val="TableGrid"/>
                <w:tblW w:w="9000" w:type="dxa"/>
                <w:tblLayout w:type="fixed"/>
                <w:tblLook w:firstRow="false" w:lastRow="false" w:firstColumn="false" w:lastColumn="false"/>
              </w:tblPr>
              <w:tblGrid>
                <w:gridCol w:w="2545.2"/>
                <w:gridCol w:w="1122.3"/>
                <w:gridCol w:w="1022.4"/>
                <w:gridCol w:w="1067.4"/>
                <w:gridCol w:w="1113.3"/>
                <w:gridCol w:w="1055.7"/>
                <w:gridCol w:w="1073.7"/>
              </w:tblGrid>
              <w:tr>
                <w:trPr>
                  <w:trHeight w:val="930" w:hRule="atLeast"/>
                </w:trPr>
                <w:tc>
                  <w:tcPr>
                    <w:tcW w:w="2620" w:type="auto"/>
                    <w:shd w:val="clear" w:color="auto" w:fill="4472C4"/>
                    <w:tcMar>
                      <w:left w:w="70" w:type="dxa"/>
                      <w:right w:w="70" w:type="dxa"/>
                    </w:tcMar>
                    <w:vAlign w:val="center"/>
                  </w:tcPr>
                  <w:p>
                    <w:pPr>
                      <w:jc w:val="center"/>
                      <w:spacing w:after="160"/>
                    </w:pPr>
                    <w:r>
                      <w:rPr>
                        <w:b/>
                        <w:shd w:val="clear" w:fill="4472C4"/>
                      </w:rPr>
                      <w:t xml:space="preserve">Hvem</w:t>
                    </w:r>
                  </w:p>
                </w:tc>
                <w:tc>
                  <w:tcPr>
                    <w:tcW w:w="1160" w:type="auto"/>
                    <w:tcBorders>
                      <w:top w:val="single" w:color="000000" w:sz="4"/>
                      <w:left w:val="none" w:color="000000" w:sz="0"/>
                      <w:bottom w:val="single" w:color="000000" w:sz="4"/>
                      <w:right w:val="single" w:color="000000" w:sz="4"/>
                    </w:tcBorders>
                    <w:shd w:val="clear" w:color="auto" w:fill="4472C4"/>
                    <w:tcMar>
                      <w:left w:w="70" w:type="dxa"/>
                      <w:right w:w="70" w:type="dxa"/>
                    </w:tcMar>
                    <w:vAlign w:val="center"/>
                  </w:tcPr>
                  <w:p>
                    <w:pPr>
                      <w:jc w:val="center"/>
                      <w:spacing w:after="160"/>
                    </w:pPr>
                    <w:r>
                      <w:rPr>
                        <w:b/>
                        <w:shd w:val="clear" w:fill="4472C4"/>
                      </w:rPr>
                      <w:t xml:space="preserve">Søker om hvor mye?</w:t>
                    </w:r>
                  </w:p>
                </w:tc>
                <w:tc>
                  <w:tcPr>
                    <w:tcW w:w="1160" w:type="auto"/>
                    <w:tcBorders>
                      <w:top w:val="single" w:color="000000" w:sz="4"/>
                      <w:left w:val="none" w:color="000000" w:sz="0"/>
                      <w:bottom w:val="single" w:color="000000" w:sz="4"/>
                      <w:right w:val="single" w:color="000000" w:sz="4"/>
                    </w:tcBorders>
                    <w:shd w:val="clear" w:color="auto" w:fill="4472C4"/>
                    <w:tcMar>
                      <w:left w:w="70" w:type="dxa"/>
                      <w:right w:w="70" w:type="dxa"/>
                    </w:tcMar>
                    <w:vAlign w:val="center"/>
                  </w:tcPr>
                  <w:p>
                    <w:pPr>
                      <w:jc w:val="center"/>
                      <w:spacing w:after="160"/>
                    </w:pPr>
                    <w:r>
                      <w:rPr>
                        <w:b/>
                        <w:u w:val="single"/>
                        <w:shd w:val="clear" w:fill="4472C4"/>
                      </w:rPr>
                      <w:t xml:space="preserve">Tildeles 2026</w:t>
                    </w:r>
                  </w:p>
                </w:tc>
                <w:tc>
                  <w:tcPr>
                    <w:tcW w:w="1160" w:type="auto"/>
                    <w:tcBorders>
                      <w:top w:val="single" w:color="000000" w:sz="4"/>
                      <w:left w:val="none" w:color="000000" w:sz="0"/>
                      <w:bottom w:val="single" w:color="000000" w:sz="4"/>
                      <w:right w:val="single" w:color="000000" w:sz="4"/>
                    </w:tcBorders>
                    <w:shd w:val="clear" w:color="auto" w:fill="4472C4"/>
                    <w:tcMar>
                      <w:left w:w="70" w:type="dxa"/>
                      <w:right w:w="70" w:type="dxa"/>
                    </w:tcMar>
                    <w:vAlign w:val="center"/>
                  </w:tcPr>
                  <w:p>
                    <w:pPr>
                      <w:jc w:val="center"/>
                      <w:spacing w:after="160"/>
                    </w:pPr>
                    <w:r>
                      <w:rPr>
                        <w:b/>
                        <w:shd w:val="clear" w:fill="4472C4"/>
                      </w:rPr>
                      <w:t xml:space="preserve">Tidligere støtte 2025</w:t>
                    </w:r>
                  </w:p>
                </w:tc>
                <w:tc>
                  <w:tcPr>
                    <w:tcW w:w="1080" w:type="auto"/>
                    <w:tcBorders>
                      <w:top w:val="single" w:color="000000" w:sz="4"/>
                      <w:left w:val="none" w:color="000000" w:sz="0"/>
                      <w:bottom w:val="single" w:color="000000" w:sz="4"/>
                      <w:right w:val="single" w:color="000000" w:sz="4"/>
                    </w:tcBorders>
                    <w:shd w:val="clear" w:color="auto" w:fill="4472C4"/>
                    <w:tcMar>
                      <w:left w:w="70" w:type="dxa"/>
                      <w:right w:w="70" w:type="dxa"/>
                    </w:tcMar>
                    <w:vAlign w:val="center"/>
                  </w:tcPr>
                  <w:p>
                    <w:pPr>
                      <w:jc w:val="center"/>
                      <w:spacing w:after="160"/>
                    </w:pPr>
                    <w:r>
                      <w:rPr>
                        <w:b/>
                        <w:shd w:val="clear" w:fill="4472C4"/>
                      </w:rPr>
                      <w:t xml:space="preserve">Tidligere støtte 2024</w:t>
                    </w:r>
                  </w:p>
                </w:tc>
                <w:tc>
                  <w:tcPr>
                    <w:tcW w:w="1000" w:type="auto"/>
                    <w:tcBorders>
                      <w:top w:val="single" w:color="000000" w:sz="4"/>
                      <w:left w:val="none" w:color="000000" w:sz="0"/>
                      <w:bottom w:val="single" w:color="000000" w:sz="4"/>
                      <w:right w:val="single" w:color="000000" w:sz="4"/>
                    </w:tcBorders>
                    <w:shd w:val="clear" w:color="auto" w:fill="4472C4"/>
                    <w:tcMar>
                      <w:left w:w="70" w:type="dxa"/>
                      <w:right w:w="70" w:type="dxa"/>
                    </w:tcMar>
                    <w:vAlign w:val="center"/>
                  </w:tcPr>
                  <w:p>
                    <w:pPr>
                      <w:jc w:val="center"/>
                      <w:spacing w:after="160"/>
                    </w:pPr>
                    <w:r>
                      <w:rPr>
                        <w:b/>
                        <w:shd w:val="clear" w:fill="4472C4"/>
                      </w:rPr>
                      <w:t xml:space="preserve">Tidligere støtte 2023</w:t>
                    </w:r>
                  </w:p>
                </w:tc>
                <w:tc>
                  <w:tcPr>
                    <w:tcW w:w="1000" w:type="auto"/>
                    <w:tcBorders>
                      <w:top w:val="single" w:color="000000" w:sz="4"/>
                      <w:left w:val="none" w:color="000000" w:sz="0"/>
                      <w:bottom w:val="single" w:color="000000" w:sz="4"/>
                      <w:right w:val="single" w:color="000000" w:sz="4"/>
                    </w:tcBorders>
                    <w:shd w:val="clear" w:color="auto" w:fill="4472C4"/>
                    <w:tcMar>
                      <w:left w:w="70" w:type="dxa"/>
                      <w:right w:w="70" w:type="dxa"/>
                    </w:tcMar>
                    <w:vAlign w:val="center"/>
                  </w:tcPr>
                  <w:p>
                    <w:pPr>
                      <w:jc w:val="center"/>
                      <w:spacing w:after="160"/>
                    </w:pPr>
                    <w:r>
                      <w:rPr>
                        <w:b/>
                        <w:shd w:val="clear" w:fill="4472C4"/>
                      </w:rPr>
                      <w:t xml:space="preserve">Tidligere støtte 2022</w:t>
                    </w:r>
                  </w:p>
                </w:tc>
              </w:tr>
              <w:tr>
                <w:trPr>
                  <w:trHeight w:val="1200" w:hRule="atLeast"/>
                </w:trPr>
                <w:tc>
                  <w:tcPr>
                    <w:tcW w:w="2620" w:type="auto"/>
                    <w:tcBorders>
                      <w:top w:val="none" w:color="000000" w:sz="0"/>
                      <w:left w:val="single" w:color="000000" w:sz="4"/>
                      <w:bottom w:val="single" w:color="000000" w:sz="4"/>
                      <w:right w:val="single" w:color="000000" w:sz="4"/>
                    </w:tcBorders>
                    <w:shd w:val="clear" w:color="auto" w:fill="D9E1F2"/>
                    <w:tcMar>
                      <w:left w:w="70" w:type="dxa"/>
                      <w:right w:w="70" w:type="dxa"/>
                    </w:tcMar>
                    <w:vAlign w:val="center"/>
                  </w:tcPr>
                  <w:p>
                    <w:pPr>
                      <w:spacing w:after="160"/>
                    </w:pPr>
                    <w:r>
                      <w:rPr>
                        <w:b/>
                        <w:shd w:val="clear" w:fill="D9E1F2"/>
                      </w:rPr>
                      <w:t xml:space="preserve">1. Ivareta, pårørendeforening til personer med rusproblemer</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ikke oppgitt</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b/>
                        <w:u w:val="single"/>
                        <w:shd w:val="clear" w:fill="D9E1F2"/>
                      </w:rPr>
                      <w:t xml:space="preserve">35 000</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10 000</w:t>
                    </w:r>
                  </w:p>
                </w:tc>
                <w:tc>
                  <w:tcPr>
                    <w:tcW w:w="108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5 000</w:t>
                    </w:r>
                  </w:p>
                </w:tc>
                <w:tc>
                  <w:tcPr>
                    <w:tcW w:w="100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5 000</w:t>
                    </w:r>
                  </w:p>
                </w:tc>
                <w:tc>
                  <w:tcPr>
                    <w:tcW w:w="100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 </w:t>
                    </w:r>
                  </w:p>
                </w:tc>
              </w:tr>
              <w:tr>
                <w:trPr>
                  <w:trHeight w:val="540" w:hRule="atLeast"/>
                </w:trPr>
                <w:tc>
                  <w:tcPr>
                    <w:tcW w:w="2620" w:type="auto"/>
                    <w:tcBorders>
                      <w:top w:val="none" w:color="000000" w:sz="0"/>
                      <w:left w:val="single" w:color="000000" w:sz="4"/>
                      <w:bottom w:val="single" w:color="000000" w:sz="4"/>
                      <w:right w:val="single" w:color="000000" w:sz="4"/>
                    </w:tcBorders>
                    <w:tcMar>
                      <w:left w:w="70" w:type="dxa"/>
                      <w:right w:w="70" w:type="dxa"/>
                    </w:tcMar>
                    <w:vAlign w:val="center"/>
                  </w:tcPr>
                  <w:p>
                    <w:pPr>
                      <w:spacing w:after="160"/>
                    </w:pPr>
                    <w:r>
                      <w:rPr>
                        <w:b/>
                      </w:rPr>
                      <w:t xml:space="preserve">2. Porsgrunn AA</w:t>
                    </w:r>
                  </w:p>
                </w:tc>
                <w:tc>
                  <w:tcPr>
                    <w:tcW w:w="116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25 000</w:t>
                    </w:r>
                  </w:p>
                </w:tc>
                <w:tc>
                  <w:tcPr>
                    <w:tcW w:w="1160" w:type="auto"/>
                    <w:tcBorders>
                      <w:top w:val="none" w:color="000000" w:sz="0"/>
                      <w:left w:val="none" w:color="000000" w:sz="0"/>
                      <w:bottom w:val="single" w:color="000000" w:sz="4"/>
                      <w:right w:val="single" w:color="000000" w:sz="4"/>
                    </w:tcBorders>
                    <w:shd w:val="clear" w:color="auto" w:fill="FFFFFF"/>
                    <w:tcMar>
                      <w:left w:w="70" w:type="dxa"/>
                      <w:right w:w="70" w:type="dxa"/>
                    </w:tcMar>
                    <w:vAlign w:val="center"/>
                  </w:tcPr>
                  <w:p>
                    <w:pPr>
                      <w:jc w:val="center"/>
                      <w:spacing w:after="160"/>
                    </w:pPr>
                    <w:r>
                      <w:rPr>
                        <w:b/>
                        <w:u w:val="single"/>
                        <w:shd w:val="clear" w:fill="FFFFFF"/>
                      </w:rPr>
                      <w:t xml:space="preserve">35 000</w:t>
                    </w:r>
                  </w:p>
                </w:tc>
                <w:tc>
                  <w:tcPr>
                    <w:tcW w:w="116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 </w:t>
                    </w:r>
                  </w:p>
                </w:tc>
                <w:tc>
                  <w:tcPr>
                    <w:tcW w:w="108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10 000</w:t>
                    </w:r>
                  </w:p>
                </w:tc>
                <w:tc>
                  <w:tcPr>
                    <w:tcW w:w="100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10 000</w:t>
                    </w:r>
                  </w:p>
                </w:tc>
                <w:tc>
                  <w:tcPr>
                    <w:tcW w:w="100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10 000</w:t>
                    </w:r>
                  </w:p>
                </w:tc>
              </w:tr>
              <w:tr>
                <w:trPr>
                  <w:trHeight w:val="570" w:hRule="atLeast"/>
                </w:trPr>
                <w:tc>
                  <w:tcPr>
                    <w:tcW w:w="2620" w:type="auto"/>
                    <w:tcBorders>
                      <w:top w:val="none" w:color="000000" w:sz="0"/>
                      <w:left w:val="single" w:color="000000" w:sz="4"/>
                      <w:bottom w:val="single" w:color="000000" w:sz="4"/>
                      <w:right w:val="single" w:color="000000" w:sz="4"/>
                    </w:tcBorders>
                    <w:shd w:val="clear" w:color="auto" w:fill="D9E1F2"/>
                    <w:tcMar>
                      <w:left w:w="70" w:type="dxa"/>
                      <w:right w:w="70" w:type="dxa"/>
                    </w:tcMar>
                    <w:vAlign w:val="center"/>
                  </w:tcPr>
                  <w:p>
                    <w:pPr>
                      <w:spacing w:after="160"/>
                    </w:pPr>
                    <w:r>
                      <w:rPr>
                        <w:b/>
                        <w:shd w:val="clear" w:fill="D9E1F2"/>
                      </w:rPr>
                      <w:t xml:space="preserve">3. R.O.T. (Recovery og tilfrisking)</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50 000</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b/>
                        <w:u w:val="single"/>
                        <w:shd w:val="clear" w:fill="D9E1F2"/>
                      </w:rPr>
                      <w:t xml:space="preserve">50 000</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15 000</w:t>
                    </w:r>
                  </w:p>
                </w:tc>
                <w:tc>
                  <w:tcPr>
                    <w:tcW w:w="108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15 000</w:t>
                    </w:r>
                  </w:p>
                </w:tc>
                <w:tc>
                  <w:tcPr>
                    <w:tcW w:w="100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20 000</w:t>
                    </w:r>
                  </w:p>
                </w:tc>
                <w:tc>
                  <w:tcPr>
                    <w:tcW w:w="100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25 000</w:t>
                    </w:r>
                  </w:p>
                </w:tc>
              </w:tr>
              <w:tr>
                <w:trPr>
                  <w:trHeight w:val="600" w:hRule="atLeast"/>
                </w:trPr>
                <w:tc>
                  <w:tcPr>
                    <w:tcW w:w="2620" w:type="auto"/>
                    <w:tcBorders>
                      <w:top w:val="none" w:color="000000" w:sz="0"/>
                      <w:left w:val="single" w:color="000000" w:sz="4"/>
                      <w:bottom w:val="single" w:color="000000" w:sz="4"/>
                      <w:right w:val="single" w:color="000000" w:sz="4"/>
                    </w:tcBorders>
                    <w:tcMar>
                      <w:left w:w="70" w:type="dxa"/>
                      <w:right w:w="70" w:type="dxa"/>
                    </w:tcMar>
                    <w:vAlign w:val="center"/>
                  </w:tcPr>
                  <w:p>
                    <w:pPr>
                      <w:spacing w:after="160"/>
                    </w:pPr>
                    <w:r>
                      <w:rPr>
                        <w:b/>
                      </w:rPr>
                      <w:t xml:space="preserve">4. Borgehaven Brukerråd</w:t>
                    </w:r>
                  </w:p>
                </w:tc>
                <w:tc>
                  <w:tcPr>
                    <w:tcW w:w="116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15 000</w:t>
                    </w:r>
                  </w:p>
                </w:tc>
                <w:tc>
                  <w:tcPr>
                    <w:tcW w:w="1160" w:type="auto"/>
                    <w:tcBorders>
                      <w:top w:val="none" w:color="000000" w:sz="0"/>
                      <w:left w:val="none" w:color="000000" w:sz="0"/>
                      <w:bottom w:val="single" w:color="000000" w:sz="4"/>
                      <w:right w:val="single" w:color="000000" w:sz="4"/>
                    </w:tcBorders>
                    <w:shd w:val="clear" w:color="auto" w:fill="FFFFFF"/>
                    <w:tcMar>
                      <w:left w:w="70" w:type="dxa"/>
                      <w:right w:w="70" w:type="dxa"/>
                    </w:tcMar>
                    <w:vAlign w:val="center"/>
                  </w:tcPr>
                  <w:p>
                    <w:pPr>
                      <w:jc w:val="center"/>
                      <w:spacing w:after="160"/>
                    </w:pPr>
                    <w:r>
                      <w:rPr>
                        <w:b/>
                        <w:u w:val="single"/>
                        <w:shd w:val="clear" w:fill="FFFFFF"/>
                      </w:rPr>
                      <w:t xml:space="preserve">30 000</w:t>
                    </w:r>
                  </w:p>
                </w:tc>
                <w:tc>
                  <w:tcPr>
                    <w:tcW w:w="116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10 000</w:t>
                    </w:r>
                  </w:p>
                </w:tc>
                <w:tc>
                  <w:tcPr>
                    <w:tcW w:w="108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10 000</w:t>
                    </w:r>
                  </w:p>
                </w:tc>
                <w:tc>
                  <w:tcPr>
                    <w:tcW w:w="100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 </w:t>
                    </w:r>
                  </w:p>
                </w:tc>
                <w:tc>
                  <w:tcPr>
                    <w:tcW w:w="100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 </w:t>
                    </w:r>
                  </w:p>
                </w:tc>
              </w:tr>
              <w:tr>
                <w:trPr>
                  <w:trHeight w:val="600" w:hRule="atLeast"/>
                </w:trPr>
                <w:tc>
                  <w:tcPr>
                    <w:tcW w:w="2620" w:type="auto"/>
                    <w:tcBorders>
                      <w:top w:val="none" w:color="000000" w:sz="0"/>
                      <w:left w:val="single" w:color="000000" w:sz="4"/>
                      <w:bottom w:val="single" w:color="000000" w:sz="4"/>
                      <w:right w:val="single" w:color="000000" w:sz="4"/>
                    </w:tcBorders>
                    <w:shd w:val="clear" w:color="auto" w:fill="D9E1F2"/>
                    <w:tcMar>
                      <w:left w:w="70" w:type="dxa"/>
                      <w:right w:w="70" w:type="dxa"/>
                    </w:tcMar>
                    <w:vAlign w:val="bottom"/>
                  </w:tcPr>
                  <w:p>
                    <w:pPr>
                      <w:spacing w:after="160"/>
                    </w:pPr>
                    <w:r>
                      <w:rPr>
                        <w:b/>
                        <w:shd w:val="clear" w:fill="D9E1F2"/>
                      </w:rPr>
                      <w:t xml:space="preserve">5. Prostatakreftforeningen Telemark</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70 000</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b/>
                        <w:u w:val="single"/>
                        <w:shd w:val="clear" w:fill="D9E1F2"/>
                      </w:rPr>
                      <w:t xml:space="preserve">0</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 </w:t>
                    </w:r>
                  </w:p>
                </w:tc>
                <w:tc>
                  <w:tcPr>
                    <w:tcW w:w="108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 </w:t>
                    </w:r>
                  </w:p>
                </w:tc>
                <w:tc>
                  <w:tcPr>
                    <w:tcW w:w="100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 </w:t>
                    </w:r>
                  </w:p>
                </w:tc>
                <w:tc>
                  <w:tcPr>
                    <w:tcW w:w="100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 </w:t>
                    </w:r>
                  </w:p>
                </w:tc>
              </w:tr>
              <w:tr>
                <w:trPr>
                  <w:trHeight w:val="600" w:hRule="atLeast"/>
                </w:trPr>
                <w:tc>
                  <w:tcPr>
                    <w:tcW w:w="2620" w:type="auto"/>
                    <w:tcBorders>
                      <w:top w:val="none" w:color="000000" w:sz="0"/>
                      <w:left w:val="single" w:color="000000" w:sz="4"/>
                      <w:bottom w:val="single" w:color="000000" w:sz="4"/>
                      <w:right w:val="single" w:color="000000" w:sz="4"/>
                    </w:tcBorders>
                    <w:tcMar>
                      <w:left w:w="70" w:type="dxa"/>
                      <w:right w:w="70" w:type="dxa"/>
                    </w:tcMar>
                    <w:vAlign w:val="center"/>
                  </w:tcPr>
                  <w:p>
                    <w:pPr>
                      <w:spacing w:after="160"/>
                    </w:pPr>
                    <w:r>
                      <w:rPr>
                        <w:b/>
                      </w:rPr>
                      <w:t xml:space="preserve">6. Det Hjelper</w:t>
                    </w:r>
                  </w:p>
                </w:tc>
                <w:tc>
                  <w:tcPr>
                    <w:tcW w:w="116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20 000</w:t>
                    </w:r>
                  </w:p>
                </w:tc>
                <w:tc>
                  <w:tcPr>
                    <w:tcW w:w="1160" w:type="auto"/>
                    <w:tcBorders>
                      <w:top w:val="none" w:color="000000" w:sz="0"/>
                      <w:left w:val="none" w:color="000000" w:sz="0"/>
                      <w:bottom w:val="single" w:color="000000" w:sz="4"/>
                      <w:right w:val="single" w:color="000000" w:sz="4"/>
                    </w:tcBorders>
                    <w:shd w:val="clear" w:color="auto" w:fill="FFFFFF"/>
                    <w:tcMar>
                      <w:left w:w="70" w:type="dxa"/>
                      <w:right w:w="70" w:type="dxa"/>
                    </w:tcMar>
                    <w:vAlign w:val="center"/>
                  </w:tcPr>
                  <w:p>
                    <w:pPr>
                      <w:jc w:val="center"/>
                      <w:spacing w:after="160"/>
                    </w:pPr>
                    <w:r>
                      <w:rPr>
                        <w:b/>
                        <w:u w:val="single"/>
                        <w:shd w:val="clear" w:fill="FFFFFF"/>
                      </w:rPr>
                      <w:t xml:space="preserve">40 000</w:t>
                    </w:r>
                  </w:p>
                </w:tc>
                <w:tc>
                  <w:tcPr>
                    <w:tcW w:w="116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15 000</w:t>
                    </w:r>
                  </w:p>
                </w:tc>
                <w:tc>
                  <w:tcPr>
                    <w:tcW w:w="108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10 000</w:t>
                    </w:r>
                  </w:p>
                </w:tc>
                <w:tc>
                  <w:tcPr>
                    <w:tcW w:w="100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 </w:t>
                    </w:r>
                  </w:p>
                </w:tc>
                <w:tc>
                  <w:tcPr>
                    <w:tcW w:w="100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 </w:t>
                    </w:r>
                  </w:p>
                </w:tc>
              </w:tr>
              <w:tr>
                <w:trPr>
                  <w:trHeight w:val="600" w:hRule="atLeast"/>
                </w:trPr>
                <w:tc>
                  <w:tcPr>
                    <w:tcW w:w="2620" w:type="auto"/>
                    <w:tcBorders>
                      <w:top w:val="none" w:color="000000" w:sz="0"/>
                      <w:left w:val="single" w:color="000000" w:sz="4"/>
                      <w:bottom w:val="single" w:color="000000" w:sz="4"/>
                      <w:right w:val="single" w:color="000000" w:sz="4"/>
                    </w:tcBorders>
                    <w:shd w:val="clear" w:color="auto" w:fill="D9E1F2"/>
                    <w:tcMar>
                      <w:left w:w="70" w:type="dxa"/>
                      <w:right w:w="70" w:type="dxa"/>
                    </w:tcMar>
                    <w:vAlign w:val="bottom"/>
                  </w:tcPr>
                  <w:p>
                    <w:pPr>
                      <w:spacing w:after="160"/>
                    </w:pPr>
                    <w:r>
                      <w:rPr>
                        <w:b/>
                        <w:shd w:val="clear" w:fill="D9E1F2"/>
                      </w:rPr>
                      <w:t xml:space="preserve">7. Porsgrunn Revmatikerforening</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61 000</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b/>
                        <w:u w:val="single"/>
                        <w:shd w:val="clear" w:fill="D9E1F2"/>
                      </w:rPr>
                      <w:t xml:space="preserve">0</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 </w:t>
                    </w:r>
                  </w:p>
                </w:tc>
                <w:tc>
                  <w:tcPr>
                    <w:tcW w:w="108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 </w:t>
                    </w:r>
                  </w:p>
                </w:tc>
                <w:tc>
                  <w:tcPr>
                    <w:tcW w:w="100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 </w:t>
                    </w:r>
                  </w:p>
                </w:tc>
                <w:tc>
                  <w:tcPr>
                    <w:tcW w:w="100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 </w:t>
                    </w:r>
                  </w:p>
                </w:tc>
              </w:tr>
              <w:tr>
                <w:trPr>
                  <w:trHeight w:val="300" w:hRule="atLeast"/>
                </w:trPr>
                <w:tc>
                  <w:tcPr>
                    <w:tcW w:w="2620" w:type="auto"/>
                    <w:tcBorders>
                      <w:top w:val="none" w:color="000000" w:sz="0"/>
                      <w:left w:val="single" w:color="000000" w:sz="4"/>
                      <w:bottom w:val="single" w:color="000000" w:sz="4"/>
                      <w:right w:val="single" w:color="000000" w:sz="4"/>
                    </w:tcBorders>
                    <w:tcMar>
                      <w:left w:w="70" w:type="dxa"/>
                      <w:right w:w="70" w:type="dxa"/>
                    </w:tcMar>
                    <w:vAlign w:val="bottom"/>
                  </w:tcPr>
                  <w:p>
                    <w:pPr>
                      <w:spacing w:after="160"/>
                    </w:pPr>
                    <w:r>
                      <w:rPr>
                        <w:b/>
                      </w:rPr>
                      <w:t xml:space="preserve">8. Leve Telemark</w:t>
                    </w:r>
                  </w:p>
                </w:tc>
                <w:tc>
                  <w:tcPr>
                    <w:tcW w:w="116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Ikke oppgitt</w:t>
                    </w:r>
                  </w:p>
                </w:tc>
                <w:tc>
                  <w:tcPr>
                    <w:tcW w:w="1160" w:type="auto"/>
                    <w:tcBorders>
                      <w:top w:val="none" w:color="000000" w:sz="0"/>
                      <w:left w:val="none" w:color="000000" w:sz="0"/>
                      <w:bottom w:val="single" w:color="000000" w:sz="4"/>
                      <w:right w:val="single" w:color="000000" w:sz="4"/>
                    </w:tcBorders>
                    <w:shd w:val="clear" w:color="auto" w:fill="FFFFFF"/>
                    <w:tcMar>
                      <w:left w:w="70" w:type="dxa"/>
                      <w:right w:w="70" w:type="dxa"/>
                    </w:tcMar>
                    <w:vAlign w:val="center"/>
                  </w:tcPr>
                  <w:p>
                    <w:pPr>
                      <w:jc w:val="center"/>
                      <w:spacing w:after="160"/>
                    </w:pPr>
                    <w:r>
                      <w:rPr>
                        <w:b/>
                        <w:u w:val="single"/>
                        <w:shd w:val="clear" w:fill="FFFFFF"/>
                      </w:rPr>
                      <w:t xml:space="preserve">35 000</w:t>
                    </w:r>
                  </w:p>
                </w:tc>
                <w:tc>
                  <w:tcPr>
                    <w:tcW w:w="116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 </w:t>
                    </w:r>
                  </w:p>
                </w:tc>
                <w:tc>
                  <w:tcPr>
                    <w:tcW w:w="108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10 000</w:t>
                    </w:r>
                  </w:p>
                </w:tc>
                <w:tc>
                  <w:tcPr>
                    <w:tcW w:w="100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15 000</w:t>
                    </w:r>
                  </w:p>
                </w:tc>
                <w:tc>
                  <w:tcPr>
                    <w:tcW w:w="100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 </w:t>
                    </w:r>
                  </w:p>
                </w:tc>
              </w:tr>
              <w:tr>
                <w:trPr>
                  <w:trHeight w:val="300" w:hRule="atLeast"/>
                </w:trPr>
                <w:tc>
                  <w:tcPr>
                    <w:tcW w:w="2620" w:type="auto"/>
                    <w:tcBorders>
                      <w:top w:val="none" w:color="000000" w:sz="0"/>
                      <w:left w:val="single" w:color="000000" w:sz="4"/>
                      <w:bottom w:val="single" w:color="000000" w:sz="4"/>
                      <w:right w:val="single" w:color="000000" w:sz="4"/>
                    </w:tcBorders>
                    <w:shd w:val="clear" w:color="auto" w:fill="D9E1F2"/>
                    <w:tcMar>
                      <w:left w:w="70" w:type="dxa"/>
                      <w:right w:w="70" w:type="dxa"/>
                    </w:tcMar>
                    <w:vAlign w:val="bottom"/>
                  </w:tcPr>
                  <w:p>
                    <w:pPr>
                      <w:spacing w:after="160"/>
                    </w:pPr>
                    <w:r>
                      <w:rPr>
                        <w:b/>
                        <w:shd w:val="clear" w:fill="D9E1F2"/>
                      </w:rPr>
                      <w:t xml:space="preserve">9. Herli Fondet</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Ikke oppgitt</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b/>
                        <w:u w:val="single"/>
                        <w:shd w:val="clear" w:fill="D9E1F2"/>
                      </w:rPr>
                      <w:t xml:space="preserve"> </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 </w:t>
                    </w:r>
                  </w:p>
                </w:tc>
                <w:tc>
                  <w:tcPr>
                    <w:tcW w:w="108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 </w:t>
                    </w:r>
                  </w:p>
                </w:tc>
                <w:tc>
                  <w:tcPr>
                    <w:tcW w:w="100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 </w:t>
                    </w:r>
                  </w:p>
                </w:tc>
                <w:tc>
                  <w:tcPr>
                    <w:tcW w:w="100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 </w:t>
                    </w:r>
                  </w:p>
                </w:tc>
              </w:tr>
              <w:tr>
                <w:trPr>
                  <w:trHeight w:val="600" w:hRule="atLeast"/>
                </w:trPr>
                <w:tc>
                  <w:tcPr>
                    <w:tcW w:w="2620" w:type="auto"/>
                    <w:tcBorders>
                      <w:top w:val="none" w:color="000000" w:sz="0"/>
                      <w:left w:val="single" w:color="000000" w:sz="4"/>
                      <w:bottom w:val="single" w:color="000000" w:sz="4"/>
                      <w:right w:val="single" w:color="000000" w:sz="4"/>
                    </w:tcBorders>
                    <w:tcMar>
                      <w:left w:w="70" w:type="dxa"/>
                      <w:right w:w="70" w:type="dxa"/>
                    </w:tcMar>
                    <w:vAlign w:val="bottom"/>
                  </w:tcPr>
                  <w:p>
                    <w:pPr>
                      <w:spacing w:after="160"/>
                    </w:pPr>
                    <w:r>
                      <w:rPr>
                        <w:b/>
                      </w:rPr>
                      <w:t xml:space="preserve">10. Brystkreftforeningen Nedre Telemark</w:t>
                    </w:r>
                  </w:p>
                </w:tc>
                <w:tc>
                  <w:tcPr>
                    <w:tcW w:w="116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Ikke oppgitt</w:t>
                    </w:r>
                  </w:p>
                </w:tc>
                <w:tc>
                  <w:tcPr>
                    <w:tcW w:w="1160" w:type="auto"/>
                    <w:tcBorders>
                      <w:top w:val="none" w:color="000000" w:sz="0"/>
                      <w:left w:val="none" w:color="000000" w:sz="0"/>
                      <w:bottom w:val="single" w:color="000000" w:sz="4"/>
                      <w:right w:val="single" w:color="000000" w:sz="4"/>
                    </w:tcBorders>
                    <w:shd w:val="clear" w:color="auto" w:fill="FFFFFF"/>
                    <w:tcMar>
                      <w:left w:w="70" w:type="dxa"/>
                      <w:right w:w="70" w:type="dxa"/>
                    </w:tcMar>
                    <w:vAlign w:val="center"/>
                  </w:tcPr>
                  <w:p>
                    <w:pPr>
                      <w:jc w:val="center"/>
                      <w:spacing w:after="160"/>
                    </w:pPr>
                    <w:r>
                      <w:rPr>
                        <w:b/>
                        <w:u w:val="single"/>
                        <w:shd w:val="clear" w:fill="FFFFFF"/>
                      </w:rPr>
                      <w:t xml:space="preserve">0</w:t>
                    </w:r>
                  </w:p>
                </w:tc>
                <w:tc>
                  <w:tcPr>
                    <w:tcW w:w="116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 </w:t>
                    </w:r>
                  </w:p>
                </w:tc>
                <w:tc>
                  <w:tcPr>
                    <w:tcW w:w="108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10 000</w:t>
                    </w:r>
                  </w:p>
                </w:tc>
                <w:tc>
                  <w:tcPr>
                    <w:tcW w:w="100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10 000</w:t>
                    </w:r>
                  </w:p>
                </w:tc>
                <w:tc>
                  <w:tcPr>
                    <w:tcW w:w="100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 </w:t>
                    </w:r>
                  </w:p>
                </w:tc>
              </w:tr>
              <w:tr>
                <w:trPr>
                  <w:trHeight w:val="300" w:hRule="atLeast"/>
                </w:trPr>
                <w:tc>
                  <w:tcPr>
                    <w:tcW w:w="2620" w:type="auto"/>
                    <w:tcBorders>
                      <w:top w:val="none" w:color="000000" w:sz="0"/>
                      <w:left w:val="single" w:color="000000" w:sz="4"/>
                      <w:bottom w:val="single" w:color="000000" w:sz="4"/>
                      <w:right w:val="single" w:color="000000" w:sz="4"/>
                    </w:tcBorders>
                    <w:shd w:val="clear" w:color="auto" w:fill="D9E1F2"/>
                    <w:tcMar>
                      <w:left w:w="70" w:type="dxa"/>
                      <w:right w:w="70" w:type="dxa"/>
                    </w:tcMar>
                    <w:vAlign w:val="center"/>
                  </w:tcPr>
                  <w:p>
                    <w:pPr>
                      <w:spacing w:after="160"/>
                    </w:pPr>
                    <w:r>
                      <w:rPr>
                        <w:b/>
                        <w:shd w:val="clear" w:fill="D9E1F2"/>
                      </w:rPr>
                      <w:t xml:space="preserve">11. BURG Telemark</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370 000</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b/>
                        <w:u w:val="single"/>
                        <w:shd w:val="clear" w:fill="D9E1F2"/>
                      </w:rPr>
                      <w:t xml:space="preserve">35 000</w:t>
                    </w:r>
                  </w:p>
                </w:tc>
                <w:tc>
                  <w:tcPr>
                    <w:tcW w:w="116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10 000</w:t>
                    </w:r>
                  </w:p>
                </w:tc>
                <w:tc>
                  <w:tcPr>
                    <w:tcW w:w="108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 </w:t>
                    </w:r>
                  </w:p>
                </w:tc>
                <w:tc>
                  <w:tcPr>
                    <w:tcW w:w="100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10 000</w:t>
                    </w:r>
                  </w:p>
                </w:tc>
                <w:tc>
                  <w:tcPr>
                    <w:tcW w:w="1000" w:type="auto"/>
                    <w:tcBorders>
                      <w:top w:val="none" w:color="000000" w:sz="0"/>
                      <w:left w:val="none" w:color="000000" w:sz="0"/>
                      <w:bottom w:val="single" w:color="000000" w:sz="4"/>
                      <w:right w:val="single" w:color="000000" w:sz="4"/>
                    </w:tcBorders>
                    <w:shd w:val="clear" w:color="auto" w:fill="D9E1F2"/>
                    <w:tcMar>
                      <w:left w:w="70" w:type="dxa"/>
                      <w:right w:w="70" w:type="dxa"/>
                    </w:tcMar>
                    <w:vAlign w:val="center"/>
                  </w:tcPr>
                  <w:p>
                    <w:pPr>
                      <w:jc w:val="center"/>
                      <w:spacing w:after="160"/>
                    </w:pPr>
                    <w:r>
                      <w:rPr>
                        <w:shd w:val="clear" w:fill="D9E1F2"/>
                      </w:rPr>
                      <w:t xml:space="preserve">10 000</w:t>
                    </w:r>
                  </w:p>
                </w:tc>
              </w:tr>
              <w:tr>
                <w:trPr>
                  <w:trHeight w:val="600" w:hRule="atLeast"/>
                </w:trPr>
                <w:tc>
                  <w:tcPr>
                    <w:tcW w:w="2620" w:type="auto"/>
                    <w:tcBorders>
                      <w:top w:val="none" w:color="000000" w:sz="0"/>
                      <w:left w:val="single" w:color="000000" w:sz="4"/>
                      <w:bottom w:val="single" w:color="000000" w:sz="4"/>
                      <w:right w:val="single" w:color="000000" w:sz="4"/>
                    </w:tcBorders>
                    <w:tcMar>
                      <w:left w:w="70" w:type="dxa"/>
                      <w:right w:w="70" w:type="dxa"/>
                    </w:tcMar>
                    <w:vAlign w:val="center"/>
                  </w:tcPr>
                  <w:p>
                    <w:pPr>
                      <w:spacing w:after="160"/>
                    </w:pPr>
                    <w:r>
                      <w:rPr>
                        <w:b/>
                      </w:rPr>
                      <w:t xml:space="preserve">12. Stiftelsen Evangeliesenteret</w:t>
                    </w:r>
                  </w:p>
                </w:tc>
                <w:tc>
                  <w:tcPr>
                    <w:tcW w:w="116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45 000</w:t>
                    </w:r>
                  </w:p>
                </w:tc>
                <w:tc>
                  <w:tcPr>
                    <w:tcW w:w="1160" w:type="auto"/>
                    <w:tcBorders>
                      <w:top w:val="none" w:color="000000" w:sz="0"/>
                      <w:left w:val="none" w:color="000000" w:sz="0"/>
                      <w:bottom w:val="single" w:color="000000" w:sz="4"/>
                      <w:right w:val="single" w:color="000000" w:sz="4"/>
                    </w:tcBorders>
                    <w:shd w:val="clear" w:color="auto" w:fill="FFFFFF"/>
                    <w:tcMar>
                      <w:left w:w="70" w:type="dxa"/>
                      <w:right w:w="70" w:type="dxa"/>
                    </w:tcMar>
                    <w:vAlign w:val="center"/>
                  </w:tcPr>
                  <w:p>
                    <w:pPr>
                      <w:jc w:val="center"/>
                      <w:spacing w:after="160"/>
                    </w:pPr>
                    <w:r>
                      <w:rPr>
                        <w:b/>
                        <w:u w:val="single"/>
                        <w:shd w:val="clear" w:fill="FFFFFF"/>
                      </w:rPr>
                      <w:t xml:space="preserve">150 000</w:t>
                    </w:r>
                  </w:p>
                </w:tc>
                <w:tc>
                  <w:tcPr>
                    <w:tcW w:w="116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20 000</w:t>
                    </w:r>
                  </w:p>
                </w:tc>
                <w:tc>
                  <w:tcPr>
                    <w:tcW w:w="108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10 000</w:t>
                    </w:r>
                  </w:p>
                </w:tc>
                <w:tc>
                  <w:tcPr>
                    <w:tcW w:w="100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 </w:t>
                    </w:r>
                  </w:p>
                </w:tc>
                <w:tc>
                  <w:tcPr>
                    <w:tcW w:w="1000" w:type="auto"/>
                    <w:tcBorders>
                      <w:top w:val="none" w:color="000000" w:sz="0"/>
                      <w:left w:val="none" w:color="000000" w:sz="0"/>
                      <w:bottom w:val="single" w:color="000000" w:sz="4"/>
                      <w:right w:val="single" w:color="000000" w:sz="4"/>
                    </w:tcBorders>
                    <w:tcMar>
                      <w:left w:w="70" w:type="dxa"/>
                      <w:right w:w="70" w:type="dxa"/>
                    </w:tcMar>
                    <w:vAlign w:val="center"/>
                  </w:tcPr>
                  <w:p>
                    <w:pPr>
                      <w:jc w:val="center"/>
                      <w:spacing w:after="160"/>
                    </w:pPr>
                    <w:r>
                      <w:t xml:space="preserve"> </w:t>
                    </w:r>
                  </w:p>
                </w:tc>
              </w:tr>
            </w:tbl>
            <w:p>
              <w:pPr>
                <w:spacing w:after="160"/>
              </w:pPr>
              <w:r>
                <w:t xml:space="preserve"> </w:t>
              </w:r>
            </w:p>
            <w:p>
              <w:pPr>
                <w:spacing w:after="160"/>
              </w:pPr>
              <w:r>
                <w:t xml:space="preserve"> Midlene dekkes fra konto 14701 3400 18000, diverse 3999 samlet kr. 410 000,-</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Råd for personer med funksjonsnedsettelse</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Råd for personer med funksjonsnedsettelse</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24/26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Porsgrunn kommunen har over flere år tildelt midler til lag og organisasjoner etter de kriteriene som utvalget for helse og omsorg vedtar. For 2026 ble kriteriene for tildeling av tilskuddsmidler behandlet i sak 08/26 i utvalg for helse og omsorg; Vedtatte kriterier for tildeling av tilskudd:</w:t>
              </w:r>
            </w:p>
            <w:p>
              <w:pPr>
                <w:pStyle w:val="ListParagraph"/>
                <w:numPr>
                  <w:ilvl w:val="0"/>
                  <w:numId w:val="1"/>
                </w:numPr>
                <w:spacing w:after="160"/>
              </w:pPr>
              <w:r>
                <w:t xml:space="preserve">Det gis tilskudd til organisasjoner med lokal forankring.</w:t>
              </w:r>
            </w:p>
            <w:p>
              <w:pPr>
                <w:pStyle w:val="ListParagraph"/>
                <w:numPr>
                  <w:ilvl w:val="0"/>
                  <w:numId w:val="1"/>
                </w:numPr>
                <w:spacing w:after="160"/>
              </w:pPr>
              <w:r>
                <w:t xml:space="preserve">Tilskuddet gis til organisasjoner som ivaretar brukere innenfor helse-, omsorg- eller sosialtjenestene.</w:t>
              </w:r>
            </w:p>
            <w:p>
              <w:pPr>
                <w:pStyle w:val="ListParagraph"/>
                <w:numPr>
                  <w:ilvl w:val="0"/>
                  <w:numId w:val="1"/>
                </w:numPr>
                <w:spacing w:after="160"/>
              </w:pPr>
              <w:r>
                <w:t xml:space="preserve">Tiltakene skal være rettet inn mot innbyggere i Porsgrunn.</w:t>
              </w:r>
            </w:p>
            <w:p>
              <w:pPr>
                <w:pStyle w:val="ListParagraph"/>
                <w:numPr>
                  <w:ilvl w:val="0"/>
                  <w:numId w:val="1"/>
                </w:numPr>
                <w:spacing w:after="160"/>
              </w:pPr>
              <w:r>
                <w:t xml:space="preserve">Organisasjoner som tidligere har mottatt tilskudd bes legge ved informasjon om hva dette har blitt benyttet til.</w:t>
              </w:r>
            </w:p>
            <w:p>
              <w:pPr>
                <w:pStyle w:val="ListParagraph"/>
                <w:numPr>
                  <w:ilvl w:val="0"/>
                  <w:numId w:val="1"/>
                </w:numPr>
                <w:spacing w:after="160"/>
              </w:pPr>
              <w:r>
                <w:t xml:space="preserve">I søknaden må det opplyses om organisasjonen har andre kommunale tilskudd, eller overføringer direkte fra virksomheter i kommunen.</w:t>
              </w:r>
            </w:p>
            <w:p>
              <w:pPr>
                <w:spacing w:after="160"/>
              </w:pPr>
              <w:r>
                <w:t xml:space="preserve">I tillegg til kriteriene vil innstillingen fra kommunedirektøren basere seg på en skjønnsmessig vurdering da det er vanskelig å sammenligne formålene direkte, men det er forsøkt å prioritere formål som når en større gruppe. Det er også gjort en vurdering på om det er tiltak eller tilbud som når kommunens brukergrupper og som til dels avlaster eller utfyller våre kommunale tilbud.</w:t>
              </w:r>
            </w:p>
            <w:p>
              <w:pPr>
                <w:spacing w:after="160"/>
              </w:pPr>
              <w:r>
                <w:t xml:space="preserve">Det er også lagt vekt på oversendelsesforslag fattet i utvalg for helse og omsorg i nevnt sak over (08/26): «Det gjøres en prioritering av midlene slik at det blir færre organisasjoner som mottar tilskudd, og at de organisasjonene som får, mottar et større beløp.»</w:t>
              </w:r>
            </w:p>
            <w:p>
              <w:pPr>
                <w:spacing w:after="160"/>
              </w:pPr>
              <w:r>
                <w:t xml:space="preserve"> </w:t>
              </w:r>
            </w:p>
          </w:sdtContent>
        </w:sdt>
        <w:sdt>
          <w:sdtPr>
            <w:alias w:val="SaksTekst"/>
            <w:tag w:val="SaksTekst"/>
            <w:id w:val="-1309477531"/>
          </w:sdtPr>
          <w:sdtContent>
            <w:p>
              <w:pPr>
                <w:spacing w:after="160"/>
              </w:pPr>
              <w:r>
                <w:rPr>
                  <w:b/>
                </w:rPr>
                <w:t xml:space="preserve">Saksfremstilling</w:t>
              </w:r>
              <w:r>
                <w:br/>
              </w:r>
              <w:r>
                <w:t xml:space="preserve">Tidligere tildelt støtte henvist til i tabell i Kommunedirektørens innstilling er hentet ifra saker behandlet i utvalg for helse og omsorg: 19/25, 16/24, 11/23 og 22/03778. Det er ikke gått lengre tilbake i tid enn 2022 i tabell å vise oversikt over tidligere tildelte midler, enkelte organisasjoner kan ha fått støtte lengre tilbake i tid. Tekst i sak om tidligere støtte henviser til støtte tilbake i tid fra 2024 til 2020.</w:t>
              </w:r>
            </w:p>
            <w:p>
              <w:pPr>
                <w:spacing w:after="160"/>
              </w:pPr>
              <w:r>
                <w:t xml:space="preserve">Etter at det ble vedtatt kriterier for tildeling av tilskuddet og utlysningstekst i sak 08/26, så ble utlysningsteksten publisert på kommunens nettsider og sosiale medier. Ved søknadsfristens utløp har det kommet inn 12 søknader. En av søknadene kom inn tidlig, nr.1. fra Ivareta, og en søknad kom inn rett etter søknadsfrist, nr.12 fra Stiftelsen Evangeliesenteret – begge søknader har blitt tatt med for vurdering da de har mottatt støtte over flere år. Det søkes totalt om kr. 656 000,- men det er flere (4 stykk) som ikke har oppgitt beløp det søkes om i søknaden. De fleste søknadene har forankring i lokalsamfunnet i Porsgrunn og noen har sin aktivitet i Grenland eller Telemark som helhet. Innholdet i søknadene er referert til i saksutredningen og det vises til vedlagte søknadstekster for utfyllende informasjon.</w:t>
              </w:r>
            </w:p>
            <w:p>
              <w:pPr>
                <w:spacing w:after="160"/>
              </w:pPr>
              <w:r>
                <w:t xml:space="preserve">Det er enkelte søknader som ikke opplyser om organisasjonen mottar andre kommunale tilskudd eller overføringer direkte fra virksomheter i kommunen. Noen som har mottatt tilskudd tidligere har ikke nevnt hva midlene har blitt brukt til tidligere. Det er opplyst i tekst under hvilke organisasjoner som mangler nevnte opplysninger.</w:t>
              </w:r>
            </w:p>
            <w:p>
              <w:pPr>
                <w:spacing w:after="160"/>
              </w:pPr>
              <w:r>
                <w:t xml:space="preserve"> </w:t>
              </w:r>
            </w:p>
            <w:p>
              <w:pPr>
                <w:spacing w:after="160"/>
              </w:pPr>
              <w:r>
                <w:t xml:space="preserve">1.    Ivaretar</w:t>
              </w:r>
            </w:p>
            <w:p>
              <w:pPr>
                <w:spacing w:after="160"/>
              </w:pPr>
              <w:r>
                <w:t xml:space="preserve">Ivaretar, foreningen for pårørende til personer med rusavhengighet. Pårørende kan til enhver tid kontakte foreningen med spørsmål og få veiledning. Foreningen har møter en gang i måned for pårørende og bistår pårørende med telefonsamtaler, rådgivning, politianmeldelser ol. Pårørende er ofte sykemeldte når de kommer i kontakt med foreningen, med de kostnadene de påfører samfunnet og kommunen; Foreningen tror og håper at arbeidet hjelper til å bedre hverdagen til pårørende og muligens få de tilbake i jobb litt tidligere. Tilskudd tildelt i 2025 ble brukt til møtevirksomhet, sommeravslutning og juleavslutning. Foreningen har ingen andre kommunale tilskudd eller overføringer direkte fra virksomheter i kommunen. Det vises til søknaden for utfyllende informasjon. Organisasjonen har fått støtte fra denne ordningen de siste årene og har ikke oppgitt beløp det søkes på i år. Det opplyses at foreningen ikke mottar andre kommunale tilskudd eller overføringer direkte fra virksomheter i kommunen.</w:t>
              </w:r>
            </w:p>
            <w:p>
              <w:pPr>
                <w:spacing w:after="160"/>
              </w:pPr>
              <w:r>
                <w:t xml:space="preserve"> </w:t>
              </w:r>
            </w:p>
            <w:p>
              <w:pPr>
                <w:spacing w:after="160"/>
              </w:pPr>
              <w:r>
                <w:t xml:space="preserve">2.    AA Porsgrunn</w:t>
              </w:r>
            </w:p>
            <w:p>
              <w:pPr>
                <w:spacing w:after="160"/>
              </w:pPr>
              <w:r>
                <w:t xml:space="preserve">AA i Porsgrunn hjelper personer ut av sine rusproblemer. Arbeidet foregår på frivillighet og det er ingen godtgjørelse til de personer som bidrar. Det er ingen kontingent eller betaling for medlemmene som deltar. De leier lokale i Metodistkirken i Porsgrunn og har et lite budsjett, ca. 25 000 til 40 000 per år. Det holdes møter hver onsdag hele året. De får ingen midler fra det offentlige eller private virksomheter. Det er søkt om kr. 25 000,-. Organisasjonen mottok sist støtte i 2024 som var sist år de søkte om støtte. Det er opplyst at organisasjonen ikke mottar tilskudd fra noen andre.</w:t>
              </w:r>
            </w:p>
            <w:p>
              <w:pPr>
                <w:spacing w:after="160"/>
              </w:pPr>
              <w:r>
                <w:t xml:space="preserve"> </w:t>
              </w:r>
            </w:p>
            <w:p>
              <w:pPr>
                <w:spacing w:after="160"/>
              </w:pPr>
              <w:r>
                <w:t xml:space="preserve">3.    R.O.T. (Recovery og tilfrisking)</w:t>
              </w:r>
            </w:p>
            <w:p>
              <w:pPr>
                <w:spacing w:after="160"/>
              </w:pPr>
              <w:r>
                <w:t xml:space="preserve">Fra tidligere søknadstekst er R.O.T stiftet av tidligere rusavhengige, som har et behov for ulike typer aktiviteter, og et nettverk for rusavhengige som trenger ekstra støtte på veien tilbake til samfunnet. R.O.T har ingen ansatte og betaler derfor ikke lønn. Alle aktiviteter er tuftet på dugnad og frivillighet. Samtlige gruppeledere og frivillige er tidligere aktive rusavhengige som nå bruker sin fortid på og hjelpe andre. R.O.T har avdeling i Skien og er representert iblant annet Brukerråd i Porsgrunn kommune. Søknaden i år er kort men det er lagt ved årsrapport for 2025, derfor er det vist til tidligere søknadstekst. Organisasjonen har fått støtte over flere år fra Porsgrunn kommune i denne ordningen, det søkes om kr. 50 000,- i årets søknad. Det er ikke opplyst om de mottar andre former for tilskudd eller stønader.  </w:t>
              </w:r>
            </w:p>
            <w:p>
              <w:pPr>
                <w:spacing w:after="160"/>
              </w:pPr>
              <w:r>
                <w:t xml:space="preserve"> </w:t>
              </w:r>
            </w:p>
            <w:p>
              <w:pPr>
                <w:spacing w:after="160"/>
              </w:pPr>
              <w:r>
                <w:t xml:space="preserve">4.    Borgehaven Brukerråd</w:t>
              </w:r>
            </w:p>
            <w:p>
              <w:pPr>
                <w:spacing w:after="160"/>
              </w:pPr>
              <w:r>
                <w:t xml:space="preserve">Fra tidligere og årets søknad så har Borgehaven Brukerråd møter hver måned og består av 2 beboere, 2 pårørende, 2 naboer og 2 ansatte og 1 representant fra Eldrerådet. Målet for Brukerrådet er å fremme trivsel for brukere og ansatte ved Borgehaven bo- og rehabiliteringssenter, og delta i planlegging og prioritering av de aktiviteter som arrangeres. Brukerrådet jobber aktivt for at pårørende og folk i nærmiljøet kan delta i aktivitetene, og arbeider for å inkludere og rekruttere nye frivillige samarbeidspartnere. Borgehaven Brukerråd arrangerer ulike sosiale og kulturelle tilbud i Borgehaven helse- og aktivitetssenter, som allsang, sommerfest, grillfest og julebord. Midlene brukt til aktiviteter har kommet inn gjennom loddsalg. Organisasjonen har fått støtte på denne ordningen de to siste årene og er en del av «den kulturelle spaserstokken». Det opplyses om hva fjoråretsmidler ble brukt til. Det vises til søknaden for utfyllende informasjon. Det søkes om kr. 15 000,- til støtte i år til støtte for å arrangere to festdager for deres brukere.</w:t>
              </w:r>
            </w:p>
            <w:p>
              <w:pPr>
                <w:spacing w:after="160"/>
              </w:pPr>
              <w:r>
                <w:t xml:space="preserve"> </w:t>
              </w:r>
            </w:p>
            <w:p>
              <w:pPr>
                <w:spacing w:after="160"/>
              </w:pPr>
              <w:r>
                <w:t xml:space="preserve">5.    Prostataforeningen Telemark</w:t>
              </w:r>
            </w:p>
            <w:p>
              <w:pPr>
                <w:spacing w:after="160"/>
              </w:pPr>
              <w:r>
                <w:t xml:space="preserve">Prostataforeningen Telemark er en frivillig organisasjon med ca. 120 medlemmer og har adresse i Porsgrunn. De har medlemsmøter 1 gang per måned med fokus på mannens helse. Det er likepersoner som hjelper de som har fått prostatakreft og alt arbeid er frivillig. Det deles ut informasjonsmateriell, blant annet fra stands på Down Town. Organisasjonen har ikke mottatt midler fra denne ordningen tidligere og det søkes om kr. 70 000,- i støtte.</w:t>
              </w:r>
            </w:p>
            <w:p>
              <w:pPr>
                <w:spacing w:after="160"/>
              </w:pPr>
              <w:r>
                <w:t xml:space="preserve"> </w:t>
              </w:r>
            </w:p>
            <w:p>
              <w:pPr>
                <w:spacing w:after="160"/>
              </w:pPr>
              <w:r>
                <w:t xml:space="preserve">6.    Det Hjelper</w:t>
              </w:r>
            </w:p>
            <w:p>
              <w:pPr>
                <w:spacing w:after="160"/>
              </w:pPr>
              <w:r>
                <w:t xml:space="preserve">Det Hjelper er en landsomfattende kristen interesseorganisasjon som har til formål å fremme bruker- og pårørendearbeid på individ- gruppe-, organisasjons-, og systemnivå innen rusfeltet. Det Hjelper søker om tilskudd til drift av selvhjelpsgruppe i Porsgrunn. Organisasjonen har ikke andre kommunale tilskudd. Det Hjelper sitter i brukerrådet for Psykisk helse og rus i Porsgrunn kommune, deltok på vegne av brukerrådet inn i kunstutvalget for nye ROP-boliger og kommer med innspill der på vegne av medlemmene. Det Hjelper har et samarbeid med kommunens rusteam og er med på å arrangere overdosedagen i Porsgrunn. Organisasjonen fikk støtte fra denne ordningen i fjor og har opplyst om hva midlene ble brukt på. Det søkes i år om et tilskudd på kr. 20 000,- og det er opplyst at organisasjonen ikke har noen andre kommunale tilskudd.</w:t>
              </w:r>
            </w:p>
            <w:p>
              <w:pPr>
                <w:spacing w:after="160"/>
              </w:pPr>
              <w:r>
                <w:t xml:space="preserve"> </w:t>
              </w:r>
            </w:p>
            <w:p>
              <w:pPr>
                <w:spacing w:after="160"/>
              </w:pPr>
              <w:r>
                <w:t xml:space="preserve">7.    Porsgrunn Revmatikerforening</w:t>
              </w:r>
            </w:p>
            <w:p>
              <w:pPr>
                <w:spacing w:after="160"/>
              </w:pPr>
              <w:r>
                <w:t xml:space="preserve">Porsgrunn revmatikerforening søker på midler til drift av foreningen, herunder husleie. Det er ikke oppgitt direkte søknadsbeløp, men det er oppgitt årlige utgifter på ca. 61 000, så det er tatt utgangspunkt i at det er søknadsbeløpet på tilskuddsmidlene. Organisasjonen har bassengtrening med instruktører hver torsdag og jevnlige samlinger i løpet av året. Alle aktiviteter blir driftet av frivillighet fra medlemmer og styret. Organisasjonen har ikke søkt på midler fra Porsgrunn kommune før og opplyser at de ikke får kommunale tilskudd eller overføringer.</w:t>
              </w:r>
            </w:p>
            <w:p>
              <w:pPr>
                <w:spacing w:after="160"/>
              </w:pPr>
              <w:r>
                <w:t xml:space="preserve"> </w:t>
              </w:r>
            </w:p>
            <w:p>
              <w:pPr>
                <w:spacing w:after="160"/>
              </w:pPr>
              <w:r>
                <w:t xml:space="preserve">8.    Leve Telemark</w:t>
              </w:r>
            </w:p>
            <w:p>
              <w:pPr>
                <w:spacing w:after="160"/>
              </w:pPr>
              <w:r>
                <w:t xml:space="preserve">Leve Telemark arrangerer hver måned kafe med uforpliktende samtaler i Pivetes lokaler Porsgrunn, dette er samtalegrupper for etterlatte ved selvmord. Det drives aktiviteter med telefonkontakt og hjemmebesøk av likemenn, dette er personer som også mottar kursing i å ha samtaler med etterlatte av selvmord. Leve Telemark oppgir at de tidligere har mottatt tilskudd fra Porsgrunn kommune i 2025 og disse midlene har blitt bruke til drift av organisasjonen og på medlemmene. Organisasjonen har ikke søkt på dette tilskuddet før og opplyser at de ikke har mottatt tilskudd for 2026.</w:t>
              </w:r>
            </w:p>
            <w:p>
              <w:pPr>
                <w:spacing w:after="160"/>
              </w:pPr>
              <w:r>
                <w:t xml:space="preserve"> </w:t>
              </w:r>
            </w:p>
            <w:p>
              <w:pPr>
                <w:spacing w:after="160"/>
              </w:pPr>
              <w:r>
                <w:t xml:space="preserve">9.    Herli Forndet</w:t>
              </w:r>
            </w:p>
            <w:p>
              <w:pPr>
                <w:spacing w:after="160"/>
              </w:pPr>
              <w:r>
                <w:t xml:space="preserve">Herli fondet er en frivillig organisasjon i Porsgrunn som arbeider for mennesker i sorg, utmattelse, ensomhet, sykdom, livskriser og andre krevende situasjoner. De ønsker å være et supplement til de kommunale helse-, omsorgs- og sosialtjenestene. Det tilbys blant annet åpne møteplasser, etterlatte kafé, samtaler og workshops. De søkes om tilskudd for å dekke utgifter til drift og gjennomføring av tilbud, det vises til søknaden for mer detaljer. Organisasjonen har ikke søkt på tilskuddet før og opplyser ikke om de mottar andre kommunale tilskudd.</w:t>
              </w:r>
            </w:p>
            <w:p>
              <w:pPr>
                <w:spacing w:after="160"/>
              </w:pPr>
              <w:r>
                <w:t xml:space="preserve"> </w:t>
              </w:r>
            </w:p>
            <w:p>
              <w:pPr>
                <w:spacing w:after="160"/>
              </w:pPr>
              <w:r>
                <w:t xml:space="preserve">10.    Brystkreftforeningen Nedre Telemark</w:t>
              </w:r>
            </w:p>
            <w:p>
              <w:pPr>
                <w:spacing w:after="160"/>
              </w:pPr>
              <w:r>
                <w:t xml:space="preserve">Foreningen har i flere år leid varmtvannbassenget i Stridklevhallen hvor regelmessig trening ledes av fysioterapeut, og yogatrening som ledes av kvalifisert instruktør med erfaring fra brukergruppen. Formålet med begge aktivitetene er å bidra til økt fysisk funksjon, redusere smerter og stivhet samt å styrke deltakernes psykiske helse og opplevelse av mestring, det vises til søknaden for mer informasjon. Brystkreftforeningen har mottatt støtte fra denne ordningen i 2023 og 2024, men søkte ikke om støtte i fjor. Det er ikke oppgitt søknadsbeløp og det opplyses ikke om organisasjonen mottar andre kommunale tilskudd.</w:t>
              </w:r>
            </w:p>
            <w:p>
              <w:pPr>
                <w:spacing w:after="160"/>
              </w:pPr>
              <w:r>
                <w:t xml:space="preserve"> </w:t>
              </w:r>
            </w:p>
            <w:p>
              <w:pPr>
                <w:spacing w:after="160"/>
              </w:pPr>
              <w:r>
                <w:t xml:space="preserve">11.    BURG Telemark</w:t>
              </w:r>
            </w:p>
            <w:p>
              <w:pPr>
                <w:spacing w:after="160"/>
              </w:pPr>
              <w:r>
                <w:t xml:space="preserve">BURG (Barne- og ungdomsrevmatikergruppe) Telemark fylte 40 år i fjor og er en del av Norsk Revmatikerforbund. BURG Telemark arrangerer ulike aktiviteter og ønsker med det å skape gode opplevelser og gi barn med familier muligheter til å møte andre i liknende situasjoner da det kan føre til positive erfaringsutvekslinger, støtte, råd og veiledning. De fleste av medlemmene i gruppen er i fra Grenlandsområdet og mange av disse igjen fra Porsgrunn. Det har gjennomføres ulike aktiviteter som bowling, familiesamlinger, faglig påfyll med psykolog og det arrangeres to ukers behandlingsreise til utlandet i forbindelse med høstferie. Gruppen søkte ikke om støtte i 2024 på denne tilskuddsordningen, men har mottatt støtte fra 2020-2023 og i 2025. Det er ikke oppgitt beløp det søkes opp støtte til i år, men det er oppgitt budsjettbeløp i søknaden på kr. 370 000,-, så dette forstås som søknadsbeløpet. Det opplyses ikke om organisasjonen mottar andre kommunale tilskudd eller overføringer direkte fra virksomheter i kommunen. Det vises til søknaden og vedlegg til søknaden for utfyllende informasjon.</w:t>
              </w:r>
            </w:p>
            <w:p>
              <w:pPr>
                <w:spacing w:after="160"/>
              </w:pPr>
              <w:r>
                <w:t xml:space="preserve"> </w:t>
              </w:r>
            </w:p>
            <w:p>
              <w:pPr>
                <w:spacing w:after="160"/>
              </w:pPr>
              <w:r>
                <w:t xml:space="preserve">12.    Stiftelsen Evangeliesenteret</w:t>
              </w:r>
            </w:p>
            <w:p>
              <w:pPr>
                <w:spacing w:after="160"/>
              </w:pPr>
              <w:r>
                <w:t xml:space="preserve">Stiftelsen Evangeliesenteret startet sin virksomhet i 1983 og har drevet arbeid rettet mot rusavhengige i 41 år, og tilbyr i Norge et helhetlig rehabiliteringstilbud med avrusning, rehabiliteringssentre, LAR nedtrappingssenter, mulighet for soning etter §12 i Straffegjennomføringsloven, og ettervern. Evangeliesenterets kontaktsenter i Porsgrunn har som mål å bedre levekår for rusavhengige innbyggere i Porsgrunn, samt stimulere og tilrettelegge for varig positiv endring for målgruppen. Det gis middagsservering, matutdeling, møter, juleavslutninger, utdeling av klær og mer. Flere av de rusavhengige som oppsøker kontaktsenteret er blant byens mest vanskeligstilte. Noen har i perioder ustabile boforhold, begrenset tilgang til kjøleskap, eller mulighet for å tilberede egen varm mat og vask av klær. Mange forteller om vansker med å prioritere eget kosthold på grunn av omfattende rusmisbruk. Det vises til søknaden for utfyllende informasjon. Organisasjonen fikk støtte fra denne ordningen i fjor og søker om kr. 45 000,- i år. Det opplyses ikke om organisasjonen mottar andre kommunale tilskudd eller overføringer direkte fra virksomheter i kommunen.</w:t>
              </w:r>
            </w:p>
            <w:p>
              <w:pPr>
                <w:spacing w:after="160"/>
              </w:pPr>
              <w:r>
                <w:t xml:space="preserve"> </w:t>
              </w:r>
            </w:p>
            <w:p>
              <w:pPr>
                <w:spacing w:after="160"/>
              </w:pPr>
              <w:r>
                <w:rPr>
                  <w:b/>
                </w:rPr>
                <w:t xml:space="preserve">Effekten av saken </w:t>
              </w:r>
              <w:r>
                <w:br/>
              </w:r>
              <w:r>
                <w:t xml:space="preserve">Det vurderes at de økonomiske konsekvensene er nøytralt da dette er midler satt av i handlingsprogrammet og budsjettet til dette formålet. Konsekvens for folkehelse, herunder vurdering av tilpassing til aldersvennlig samfunn vurderes som positiv da støtte til organisasjonene og foreningene vil fremme folkehelsen for kommunens innbyggere.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 Ivareta pårørendeforening</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 Porsgrunn AA</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 ROT vedlegg årsrapport</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 ROT</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4. Borgehaven Brukerråd</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5. Prostatakreftforeningen Telemark</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6. Det hjelper</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7. Porsgrunn Revmatikerforening</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8. Leve Telemark</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9. Herli Fondet</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10. Brystkreftforeningen Nedre Telemark</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11. BURG Telemark vedlegg Årsmøte</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11. BURG Telemark</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12. Stiftelsen Evangeliesenteret</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93c5ee961d0940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Tildeling av tilskudd til brukerorganisasjoner innen helse-, omsorg eller sosialtjenesten for 2026</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