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26/5593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Målfrid Hålimoen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07.05.2026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Tildeling av driftstilskudd til barne- og ungdomsorganisasjoner 2026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 Tildeling av Driftstilskudd til barne- og ungdomsorganisasjoner 2026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tråd med delegasjonsreglementet punkt 3 </w:t>
              </w:r>
              <w:r>
                <w:rPr>
                  <w:i/>
                </w:rPr>
                <w:t xml:space="preserve">Delegasjoner fra Bystyret til Kommunedirektøren,</w:t>
              </w:r>
              <w:r>
                <w:t xml:space="preserve"> underpunkt 4b legges fordelingen av tilskuddsordningen fram for utvalget.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Referanser i saken:</w:t>
              </w:r>
            </w:p>
            <w:p>
              <w:pPr>
                <w:spacing w:after="160"/>
              </w:pPr>
              <w:r>
                <w:t xml:space="preserve">1.  </w:t>
              </w:r>
              <w:hyperlink w:history="true" r:id="Ra81d1b596c7b45da">
                <w:r>
                  <w:rPr>
                    <w:rStyle w:val="Hyperlink"/>
                  </w:rPr>
                  <w:t xml:space="preserve">Bestemmelser for tilskuddsordningene - Porsgrunn kommune</w:t>
                </w:r>
              </w:hyperlink>
            </w:p>
            <w:p>
              <w:pPr>
                <w:spacing w:after="160"/>
              </w:pPr>
              <w:r>
                <w:t xml:space="preserve">2. </w:t>
              </w:r>
              <w:hyperlink w:history="true" r:id="Rc6724da06d96493c">
                <w:r>
                  <w:rPr>
                    <w:rStyle w:val="Hyperlink"/>
                  </w:rPr>
                  <w:t xml:space="preserve">Driftstilskudd til barne- og ungdomsorganisasjoner - Porsgrunn kommune</w:t>
                </w:r>
              </w:hyperlink>
            </w:p>
            <w:p>
              <w:pPr>
                <w:spacing w:after="160"/>
              </w:pPr>
              <w:r>
                <w:t xml:space="preserve">3. BUK-sak 14/24 </w:t>
              </w:r>
              <w:r>
                <w:rPr>
                  <w:i/>
                </w:rPr>
                <w:t xml:space="preserve">Revidering av enkelte tilskuddsordninger innen kultur og idrett (arkivsak 24/2514). </w:t>
              </w:r>
              <w:r>
                <w:br/>
              </w:r>
              <w:r>
                <w:rPr>
                  <w:u w:val="single"/>
                </w:rPr>
                <w:t xml:space="preserve">Revidering av enkelte tilskuddsordninger innen kultur og idrett 2024 (pdf, 94KB)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Driftstilskudd til barne- og ungdomsorganisasjoner fordeles i tråd med retningslinjene per hode til  medlemmer under 19 år. Innen søknadsfristen 30. april var det kommet inn 7 søknader. Det er tre amatørteater i Porsgrunn kommune, disse mottar støtte fra ordningen </w:t>
              </w:r>
              <w:r>
                <w:rPr>
                  <w:i/>
                </w:rPr>
                <w:t xml:space="preserve">Tilskudd til Aamatørteater.</w:t>
              </w:r>
            </w:p>
            <w:p>
              <w:pPr>
                <w:spacing w:after="160"/>
              </w:pPr>
              <w:r>
                <w:t xml:space="preserve">Tilskuddsrammen til ordningen ble med virkning fra 2024 redusert med kr 100 000 (fra kr 223 500 til kr 123 500). Det vises her til BUK-sak 14/24 </w:t>
              </w:r>
              <w:r>
                <w:rPr>
                  <w:i/>
                </w:rPr>
                <w:t xml:space="preserve">Revidering av enkelte tilskuddsordninger innen kultur og idrett. </w:t>
              </w:r>
              <w:r>
                <w:t xml:space="preserve">I 2025 var ble det fordelt kr 127 000. I 2026 er det avsatt kr  131 400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Avsatt beløp for 2026 fordeles slik: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437.4"/>
                <w:gridCol w:w="5162.4"/>
                <w:gridCol w:w="3400.2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Organisasjon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Tildelt beløp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FRIBU Porsgrunn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20 672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2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1. Heistad Speidergruppe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10 608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3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Herøya Misjonskirke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22 032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4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Herøya Nærmiljøsentral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34 816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5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Eidanger Menighetsråd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20 672 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6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Porsgrunn FA Speidergruppe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10 608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7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Grenland Thai Språk- og kulturforening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t xml:space="preserve">11 968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Totalt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jc w:val="right"/>
                      <w:spacing w:after="160"/>
                    </w:pPr>
                    <w:r>
                      <w:rPr>
                        <w:b/>
                      </w:rPr>
                      <w:t xml:space="preserve">131 376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 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hyperlink" Target="https://www.porsgrunn.kommune.no/kultur-idrett-og-fritid/tilskuddsordninger/bestemmelser-for-tilskuddsordningene/" TargetMode="External" Id="Ra81d1b596c7b45da" /><Relationship Type="http://schemas.openxmlformats.org/officeDocument/2006/relationships/hyperlink" Target="https://www.porsgrunn.kommune.no/kultur-idrett-og-fritid/tilskuddsordninger/idrett-friluft-og-folkehelse/driftstilskudd-til-barne-og-ungdomsorganisasjoner/" TargetMode="External" Id="Rc6724da06d9649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Tildeling av driftstilskudd til barne- og ungdomsorganisasjoner 2026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