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26/5659</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Jørgen Olsvoll</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Tildeling til idrettslag - ikke søknadsbare ordninger 2026</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Fordelingen av tilskudd for 2026 for de nevnte ordninger tas til orientering.</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I tråd med delegasjonsreglementet punkt 3 Delegasjoner fra Bystyret til Rådmannen, underpunkt 4b legges fordelingen av disse tilskuddsordningene fram for utvalget. </w:t>
              </w:r>
            </w:p>
            <w:p>
              <w:pPr>
                <w:spacing w:after="160"/>
              </w:pPr>
              <w:r>
                <w:t xml:space="preserve">Referanser i saken </w:t>
              </w:r>
            </w:p>
            <w:p>
              <w:pPr>
                <w:spacing w:after="160"/>
              </w:pPr>
              <w:r>
                <w:t xml:space="preserve">1. Bestemmelser for tilskuddsordningene - Porsgrunn kommune </w:t>
              </w:r>
            </w:p>
            <w:p>
              <w:pPr>
                <w:spacing w:after="160"/>
              </w:pPr>
              <w:r>
                <w:t xml:space="preserve">2. Driftstilskudd til idrettslag - Porsgrunn kommune </w:t>
              </w:r>
            </w:p>
            <w:p>
              <w:pPr>
                <w:spacing w:after="160"/>
              </w:pPr>
              <w:r>
                <w:t xml:space="preserve">3. Tilskudd til private idrettsanlegg og privatleie - Porsgrunn kommune </w:t>
              </w:r>
            </w:p>
            <w:p>
              <w:pPr>
                <w:spacing w:after="160"/>
              </w:pPr>
              <w:r>
                <w:t xml:space="preserve">4. Tilskudd til anleggsutvikling - Porsgrunn kommune </w:t>
              </w:r>
            </w:p>
            <w:p>
              <w:pPr>
                <w:spacing w:after="160"/>
              </w:pPr>
              <w:r>
                <w:t xml:space="preserve">5. BUK-sak 14/24 Revidering av enkelte tilskuddsordninger innen kultur og idrett. </w:t>
              </w:r>
            </w:p>
            <w:p>
              <w:pPr>
                <w:spacing w:after="160"/>
              </w:pPr>
              <w:r>
                <w:t xml:space="preserve">Revidering av enkelte tilskuddsordninger innen kultur og idrett 2024</w:t>
              </w:r>
            </w:p>
          </w:sdtContent>
        </w:sdt>
        <w:sdt>
          <w:sdtPr>
            <w:alias w:val="SaksTekst"/>
            <w:tag w:val="SaksTekst"/>
            <w:id w:val="-1309477531"/>
          </w:sdtPr>
          <w:sdtContent>
            <w:p>
              <w:pPr>
                <w:spacing w:after="160"/>
              </w:pPr>
              <w:r>
                <w:rPr>
                  <w:b/>
                </w:rPr>
                <w:t xml:space="preserve">Saksfremstilling</w:t>
              </w:r>
            </w:p>
            <w:p>
              <w:pPr>
                <w:spacing w:after="160"/>
              </w:pPr>
              <w:r>
                <w:t xml:space="preserve">Utvalg for barn, unge og kultur behandlet i sitt møte 28.02.24 sak 14/24 Revidering av enkelte tilskuddsordninger innen kultur og idrett. Det var flere årsaker til at man ønsket å se på en revidering av de berørte tilskuddsordningene. En av de var ønsket om å forenkle saksgangen for søkerne og avbyråkratisere der det var mulig. Ordningen med “driftstilskudd til idrettsorganisasjoner" ble gjort om fra å være en søkbar ordning til tildeling basert på medlemsregistreringen i Norges Idrettsforbund. Tilsvarende ble ordningen “tilskudd til private idrettsanlegg og privat leie” gjort om fra å være en søkbar ordning til tildeling basert på kriterier godkjent av Porsgrunn Idrettsråd. Fordelingen innenfor de ulike tilskuddordningen er lagt frem for Porsgrunn Idrettsråd i deres møte 11.05.26, hvor de gav sin tilslutning. </w:t>
              </w:r>
            </w:p>
            <w:p>
              <w:pPr>
                <w:spacing w:after="160"/>
              </w:pPr>
              <w:r>
                <w:t xml:space="preserve"> </w:t>
              </w:r>
            </w:p>
            <w:tbl>
              <w:tblPr>
                <w:tblStyle w:val="TableGrid"/>
                <w:tblW w:w="9000" w:type="dxa"/>
                <w:tblLayout w:type="fixed"/>
                <w:tblLook w:firstRow="false" w:lastRow="false" w:firstColumn="false" w:lastColumn="false"/>
              </w:tblPr>
              <w:tblGrid>
                <w:gridCol w:w="1888.2"/>
                <w:gridCol w:w="608.4"/>
                <w:gridCol w:w="2008.8"/>
                <w:gridCol w:w="1258.2"/>
                <w:gridCol w:w="1258.2"/>
                <w:gridCol w:w="1978.2"/>
              </w:tblGrid>
              <w:tr>
                <w:trPr>
                  <w:trHeight w:val="403" w:hRule="atLeast"/>
                </w:trPr>
                <w:tc>
                  <w:tcPr>
                    <w:tcW w:w="2480" w:type="auto"/>
                    <w:gridSpan w:val="2"/>
                    <w:vAlign w:val="center"/>
                  </w:tcPr>
                  <w:p>
                    <w:pPr>
                      <w:spacing w:after="160"/>
                    </w:pPr>
                    <w:r>
                      <w:rPr>
                        <w:b/>
                      </w:rPr>
                      <w:t xml:space="preserve">Idrettslag</w:t>
                    </w:r>
                  </w:p>
                </w:tc>
                <w:tc>
                  <w:tcPr>
                    <w:tcW w:w="1980" w:type="auto"/>
                    <w:vAlign w:val="center"/>
                  </w:tcPr>
                  <w:p>
                    <w:pPr>
                      <w:spacing w:after="160"/>
                    </w:pPr>
                    <w:r>
                      <w:rPr>
                        <w:b/>
                      </w:rPr>
                      <w:t xml:space="preserve">Drift</w:t>
                    </w:r>
                  </w:p>
                </w:tc>
                <w:tc>
                  <w:tcPr>
                    <w:tcW w:w="2480" w:type="auto"/>
                    <w:gridSpan w:val="2"/>
                    <w:vAlign w:val="center"/>
                  </w:tcPr>
                  <w:p>
                    <w:pPr>
                      <w:spacing w:after="160"/>
                    </w:pPr>
                    <w:r>
                      <w:rPr>
                        <w:b/>
                      </w:rPr>
                      <w:t xml:space="preserve">Drift anlegg</w:t>
                    </w:r>
                  </w:p>
                </w:tc>
                <w:tc>
                  <w:tcPr>
                    <w:tcW w:w="1240" w:type="auto"/>
                    <w:vAlign w:val="center"/>
                  </w:tcPr>
                  <w:p>
                    <w:pPr>
                      <w:spacing w:after="160"/>
                    </w:pPr>
                    <w:r>
                      <w:rPr>
                        <w:b/>
                      </w:rPr>
                      <w:t xml:space="preserve">Anleggsutvikling</w:t>
                    </w:r>
                  </w:p>
                </w:tc>
              </w:tr>
              <w:tr>
                <w:trPr>
                  <w:trHeight w:val="292" w:hRule="atLeast"/>
                </w:trPr>
                <w:tc>
                  <w:tcPr>
                    <w:vAlign w:val="center"/>
                  </w:tcPr>
                  <w:p>
                    <w:pPr>
                      <w:spacing w:after="160"/>
                    </w:pPr>
                    <w:r>
                      <w:t xml:space="preserve">Brevik Idrettslag</w:t>
                    </w:r>
                  </w:p>
                </w:tc>
                <w:tc>
                  <w:tcPr>
                    <w:vAlign w:val="center"/>
                  </w:tcPr>
                  <w:p>
                    <w:pPr>
                      <w:spacing w:after="160"/>
                    </w:pPr>
                    <w:r>
                      <w:t xml:space="preserve"> </w:t>
                    </w:r>
                  </w:p>
                </w:tc>
                <w:tc>
                  <w:tcPr>
                    <w:vAlign w:val="center"/>
                  </w:tcPr>
                  <w:p>
                    <w:pPr>
                      <w:keepNext/>
                      <w:jc w:val="right"/>
                      <w:spacing w:after="160"/>
                    </w:pPr>
                    <w:r>
                      <w:t xml:space="preserve">54214</w:t>
                    </w:r>
                  </w:p>
                </w:tc>
                <w:tc>
                  <w:tcPr>
                    <w:tcBorders>
                      <w:top w:val="nil" w:color="000000" w:sz="0"/>
                      <w:left w:val="none" w:color="000000" w:sz="0"/>
                      <w:bottom w:val="nil" w:color="000000" w:sz="0"/>
                      <w:right w:val="nil" w:color="000000" w:sz="0"/>
                    </w:tcBorders>
                    <w:vAlign w:val="center"/>
                  </w:tcPr>
                  <w:p>
                    <w:pPr>
                      <w:keepNext/>
                      <w:jc w:val="right"/>
                      <w:spacing w:after="160"/>
                    </w:pPr>
                    <w:r>
                      <w:t xml:space="preserve">73800</w:t>
                    </w:r>
                  </w:p>
                </w:tc>
                <w:tc>
                  <w:tcPr>
                    <w:vAlign w:val="center"/>
                  </w:tcPr>
                  <w:p>
                    <w:pPr>
                      <w:spacing w:after="160"/>
                    </w:pPr>
                    <w:r>
                      <w:t xml:space="preserve"> </w:t>
                    </w:r>
                  </w:p>
                </w:tc>
                <w:tc>
                  <w:tcPr>
                    <w:vAlign w:val="center"/>
                  </w:tcPr>
                  <w:p>
                    <w:pPr>
                      <w:keepNext/>
                      <w:jc w:val="right"/>
                      <w:spacing w:after="160"/>
                    </w:pPr>
                    <w:r>
                      <w:t xml:space="preserve">90711</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Brevik Seilforening</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8545</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36000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Eidanger Idrettslag</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40134</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73800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Grenland Ryttersportklubb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27217</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73800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443983</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Grenland Racerbåt 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0</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Grenland Atletklubb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4013</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Grenmar Dykkeklubb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2627</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Hauken IL</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9784</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14000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Hei IL</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62615</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73800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109200</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Herøya Idrettsforening</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21988</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73800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Heistad Trialklubb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4288</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Langangen IL</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21698</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14000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 fotball</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28395</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36000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 boksing</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0</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 IF</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38237</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36000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Porsgrunds Skytterlag</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4487</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14000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Porsgrunn Badmintonklubb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6244</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Porsgrunn Cricketklubb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0</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46600</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Porsgrunn Handicap IL</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8054</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Porsgrunn Karateklubb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8233</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23000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Porsgrunn Orienteringslag</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10904</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Porsgrunn Pistolklubb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5274</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23000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Porsgrunn Roklubb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3701</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23000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vAlign w:val="center"/>
                  </w:tcPr>
                  <w:p>
                    <w:pPr>
                      <w:spacing w:after="160"/>
                    </w:pPr>
                    <w:r>
                      <w:t xml:space="preserve">Porsgrunn Rugby 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0</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Porsgrunn Taekwondo</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11431</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Porsgrunn Tennisklubb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9531</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36000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vAlign w:val="center"/>
                  </w:tcPr>
                  <w:p>
                    <w:pPr>
                      <w:spacing w:after="160"/>
                    </w:pPr>
                    <w:r>
                      <w:t xml:space="preserve">Poseidon Porsgrunn, SK</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9200</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Sandøya IL</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3963</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Skagerak Sportsklubb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2898</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Stridsklev IL</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18477</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36000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Sundjordets IF</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18895</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36000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34006</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Urædd bryteklubb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0</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Urædd fotball</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21483</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Urædd Friidrett</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6170</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Urædd håndball</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14427</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Urædd IF Allianse</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2627</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23000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Urædd Turnforening</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13124</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tcBorders>
                      <w:top w:val="none" w:color="000000" w:sz="0"/>
                      <w:left w:val="nil" w:color="000000" w:sz="0"/>
                      <w:bottom w:val="nil" w:color="000000" w:sz="0"/>
                      <w:right w:val="nil" w:color="000000" w:sz="0"/>
                    </w:tcBorders>
                    <w:vAlign w:val="center"/>
                  </w:tcPr>
                  <w:p>
                    <w:pPr>
                      <w:spacing w:after="160"/>
                    </w:pPr>
                    <w:r>
                      <w:t xml:space="preserve">Porsgrunn Disksportklubb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5996</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vAlign w:val="center"/>
                  </w:tcPr>
                  <w:p>
                    <w:pPr>
                      <w:spacing w:after="160"/>
                    </w:pPr>
                    <w:r>
                      <w:t xml:space="preserve">Grenland Basketklubb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7158</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vAlign w:val="center"/>
                  </w:tcPr>
                  <w:p>
                    <w:pPr>
                      <w:spacing w:after="160"/>
                    </w:pPr>
                    <w:r>
                      <w:t xml:space="preserve">Porsgrunn bordtennis og squashklubb</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5073</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vAlign w:val="center"/>
                  </w:tcPr>
                  <w:p>
                    <w:pPr>
                      <w:spacing w:after="160"/>
                    </w:pPr>
                    <w:r>
                      <w:t xml:space="preserve">Friskis og Svettis</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3012</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vAlign w:val="center"/>
                  </w:tcPr>
                  <w:p>
                    <w:pPr>
                      <w:spacing w:after="160"/>
                    </w:pPr>
                    <w:r>
                      <w:t xml:space="preserve">Grenland Topphåndball</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7725</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vAlign w:val="center"/>
                  </w:tcPr>
                  <w:p>
                    <w:pPr>
                      <w:spacing w:after="160"/>
                    </w:pPr>
                    <w:r>
                      <w:t xml:space="preserve">Pors håndball</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10785</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vAlign w:val="center"/>
                  </w:tcPr>
                  <w:p>
                    <w:pPr>
                      <w:spacing w:after="160"/>
                    </w:pPr>
                    <w:r>
                      <w:t xml:space="preserve">Grenland bueskyttere</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keepNext/>
                      <w:jc w:val="right"/>
                      <w:spacing w:after="160"/>
                    </w:pPr>
                    <w:r>
                      <w:t xml:space="preserve">5373</w:t>
                    </w:r>
                  </w:p>
                </w:tc>
                <w:tc>
                  <w:tcPr>
                    <w:tcBorders>
                      <w:top w:val="none" w:color="000000" w:sz="0"/>
                      <w:left w:val="none" w:color="000000" w:sz="0"/>
                      <w:bottom w:val="nil" w:color="000000" w:sz="0"/>
                      <w:right w:val="nil" w:color="000000" w:sz="0"/>
                    </w:tcBorders>
                    <w:vAlign w:val="center"/>
                  </w:tcPr>
                  <w:p>
                    <w:pPr>
                      <w:keepNext/>
                      <w:jc w:val="right"/>
                      <w:spacing w:after="160"/>
                    </w:pPr>
                    <w:r>
                      <w:t xml:space="preserve">0</w:t>
                    </w:r>
                  </w:p>
                </w:tc>
                <w:tc>
                  <w:tcPr>
                    <w:vAlign w:val="center"/>
                  </w:tcPr>
                  <w:p>
                    <w:pPr>
                      <w:spacing w:after="160"/>
                    </w:pPr>
                    <w:r>
                      <w:t xml:space="preserve"> </w:t>
                    </w:r>
                  </w:p>
                </w:tc>
                <w:tc>
                  <w:tcPr>
                    <w:tcBorders>
                      <w:top w:val="none" w:color="000000" w:sz="0"/>
                      <w:left w:val="nil" w:color="000000" w:sz="0"/>
                      <w:bottom w:val="nil" w:color="000000" w:sz="0"/>
                      <w:right w:val="nil" w:color="000000" w:sz="0"/>
                    </w:tcBorders>
                    <w:vAlign w:val="center"/>
                  </w:tcPr>
                  <w:p>
                    <w:pPr>
                      <w:spacing w:after="160"/>
                    </w:pPr>
                    <w:r>
                      <w:t xml:space="preserve"> </w:t>
                    </w:r>
                  </w:p>
                </w:tc>
              </w:tr>
              <w:tr>
                <w:trPr>
                  <w:trHeight w:val="292" w:hRule="atLeast"/>
                </w:trPr>
                <w:tc>
                  <w:tcPr>
                    <w:vAlign w:val="center"/>
                  </w:tcPr>
                  <w:p>
                    <w:pPr>
                      <w:spacing w:after="160"/>
                    </w:pPr>
                    <w:r>
                      <w:t xml:space="preserve"> </w:t>
                    </w:r>
                  </w:p>
                </w:tc>
                <w:tc>
                  <w:tcPr>
                    <w:vAlign w:val="center"/>
                  </w:tcPr>
                  <w:p>
                    <w:pPr>
                      <w:spacing w:after="160"/>
                    </w:pPr>
                    <w:r>
                      <w:t xml:space="preserve"> </w:t>
                    </w:r>
                  </w:p>
                </w:tc>
                <w:tc>
                  <w:tcPr>
                    <w:vAlign w:val="center"/>
                  </w:tcPr>
                  <w:p>
                    <w:pPr>
                      <w:keepNext/>
                      <w:jc w:val="right"/>
                      <w:spacing w:after="160"/>
                    </w:pPr>
                    <w:r>
                      <w:rPr>
                        <w:b/>
                      </w:rPr>
                      <w:t xml:space="preserve">548000</w:t>
                    </w:r>
                  </w:p>
                </w:tc>
                <w:tc>
                  <w:tcPr>
                    <w:vAlign w:val="center"/>
                  </w:tcPr>
                  <w:p>
                    <w:pPr>
                      <w:keepNext/>
                      <w:jc w:val="right"/>
                      <w:spacing w:after="160"/>
                    </w:pPr>
                    <w:r>
                      <w:rPr>
                        <w:b/>
                      </w:rPr>
                      <w:t xml:space="preserve">719000</w:t>
                    </w:r>
                  </w:p>
                </w:tc>
                <w:tc>
                  <w:tcPr>
                    <w:vAlign w:val="center"/>
                  </w:tcPr>
                  <w:p>
                    <w:pPr>
                      <w:spacing w:after="160"/>
                    </w:pPr>
                    <w:r>
                      <w:t xml:space="preserve"> </w:t>
                    </w:r>
                  </w:p>
                </w:tc>
                <w:tc>
                  <w:tcPr>
                    <w:vAlign w:val="center"/>
                  </w:tcPr>
                  <w:p>
                    <w:pPr>
                      <w:keepNext/>
                      <w:jc w:val="right"/>
                      <w:spacing w:after="160"/>
                    </w:pPr>
                    <w:r>
                      <w:rPr>
                        <w:b/>
                      </w:rPr>
                      <w:t xml:space="preserve">724500</w:t>
                    </w:r>
                  </w:p>
                </w:tc>
              </w:tr>
              <w:tr>
                <w:trPr>
                  <w:trHeight w:val="292" w:hRule="atLeast"/>
                </w:trPr>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rHeight w:val="292" w:hRule="atLeast"/>
                </w:trPr>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rPr>
                        <w:b/>
                      </w:rPr>
                      <w:t xml:space="preserve">46600*</w:t>
                    </w:r>
                  </w:p>
                </w:tc>
                <w:tc>
                  <w:tcPr>
                    <w:gridSpan w:val="2"/>
                    <w:vAlign w:val="center"/>
                  </w:tcPr>
                  <w:p>
                    <w:pPr>
                      <w:spacing w:after="160"/>
                    </w:pPr>
                    <w:r>
                      <w:rPr>
                        <w:b/>
                      </w:rPr>
                      <w:t xml:space="preserve">ikke godkjent SM søknad</w:t>
                    </w:r>
                  </w:p>
                </w:tc>
              </w:tr>
            </w:tbl>
            <w:p>
              <w:pPr>
                <w:spacing w:after="160"/>
              </w:pPr>
              <w:r>
                <w:rPr>
                  <w:b/>
                </w:rPr>
                <w:t xml:space="preserve">Effekten av saken </w:t>
              </w:r>
              <w:r>
                <w:br/>
              </w:r>
              <w:r>
                <w:t xml:space="preserve">&lt;I tabellen nedenfor skal du vurdere effektene av saken. Det er obligatorisk å fylle ut tabellen og legg til flere konsekvenser om nødvendig. Som innmelder av saken må du gjerne legge inn en utfyllende forklaring av tabellen. Hvis saken påvirker budsjettet, må det foreslås budsjettendringer. Lederen er ansvarlig for at det finnes dekning i budsjettet og økonomiplanen for økte kostnader eller reduksjon av inntekter. Beskrivelsen av hvordan dette løses må inkluderes.&gt;</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Tildeling til idrettslag - ikke søknadsbare ordninger 2026</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Tildeling til idrettslag - ikke søknadsbare ordninger 2026</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