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26/5547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Målfrid Hålimoen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Tilskudd til vedlikehold av organisasjonseide anlegg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Tildeling av Tilskudd til vedlikehold av organisasjonseide anlegg 2026 tas til orientering.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tråd med delegasjonsreglementet punkt 3 </w:t>
              </w:r>
              <w:r>
                <w:rPr>
                  <w:i/>
                </w:rPr>
                <w:t xml:space="preserve">Delegasjoner fra Bystyret til Rådmannen</w:t>
              </w:r>
              <w:r>
                <w:t xml:space="preserve">, underpunkt 4b legges fordelingen av tilskuddsordningen frem for utvalget.</w:t>
              </w:r>
            </w:p>
            <w:p>
              <w:pPr>
                <w:spacing w:after="160"/>
              </w:pPr>
              <w:r>
                <w:t xml:space="preserve"> </w:t>
              </w:r>
            </w:p>
            <w:p>
              <w:pPr>
                <w:spacing w:after="160"/>
              </w:pPr>
              <w:r>
                <w:rPr>
                  <w:u w:val="single"/>
                </w:rPr>
                <w:t xml:space="preserve">Referanser i saken</w:t>
              </w:r>
            </w:p>
            <w:p>
              <w:pPr>
                <w:spacing w:after="160"/>
              </w:pPr>
              <w:r>
                <w:t xml:space="preserve">1. </w:t>
              </w:r>
              <w:hyperlink w:history="true" r:id="R2fe01829e6f54311">
                <w:r>
                  <w:rPr>
                    <w:rStyle w:val="Hyperlink"/>
                  </w:rPr>
                  <w:t xml:space="preserve">Bestemmelser for tilskuddsordningene - Porsgrunn kommune</w:t>
                </w:r>
              </w:hyperlink>
            </w:p>
            <w:p>
              <w:pPr>
                <w:spacing w:after="160"/>
              </w:pPr>
              <w:r>
                <w:t xml:space="preserve">2. </w:t>
              </w:r>
              <w:hyperlink w:history="true" r:id="R32a208fd2b314def">
                <w:r>
                  <w:rPr>
                    <w:rStyle w:val="Hyperlink"/>
                  </w:rPr>
                  <w:t xml:space="preserve">Tilskudd til vedlikehold av organisasjonseide anlegg - Porsgrunn kommune</w:t>
                </w:r>
              </w:hyperlink>
            </w:p>
            <w:p>
              <w:pPr>
                <w:spacing w:after="160"/>
              </w:pPr>
              <w:r>
                <w:t xml:space="preserve">3. BUK-sak 14/24 </w:t>
              </w:r>
              <w:r>
                <w:rPr>
                  <w:i/>
                </w:rPr>
                <w:t xml:space="preserve">Revidering av enkelte tilskuddsordninger innen idrett og kultur </w:t>
              </w:r>
              <w:r>
                <w:t xml:space="preserve">(arkivsak 24/2514) </w:t>
              </w:r>
              <w:hyperlink w:history="true" r:id="R33185d2f1b5e4ea4">
                <w:r>
                  <w:rPr>
                    <w:rStyle w:val="Hyperlink"/>
                  </w:rPr>
                  <w:t xml:space="preserve">Revidering av enkelte tilskuddsordninger innen kultur og idrett 2024</w:t>
                </w:r>
              </w:hyperlink>
              <w:r>
                <w:br/>
              </w:r>
              <w:r>
                <w:t xml:space="preserve"> </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Søkere kan være lag og foreninger som oppfyller kravene til betingelsene i de alminnelige bestemmelser for tilskudd. Søknad sendes på et eget søknadsskjema med oversikt over planlagte vedlikeholdsarbeider som inkluderer beskrivelse, finansiering og kostnadsoverslag for de ulike vedlikeholdsoppgavene.</w:t>
              </w:r>
            </w:p>
            <w:p>
              <w:pPr>
                <w:spacing w:after="160"/>
              </w:pPr>
              <w:r>
                <w:t xml:space="preserve">Ordningen ble endret med virkning fra 2024, det vises her til BUK-sak 14/24 </w:t>
              </w:r>
              <w:r>
                <w:rPr>
                  <w:i/>
                </w:rPr>
                <w:t xml:space="preserve">Revidering av enkelte tilskuddsordninger innen idrett og kultur. </w:t>
              </w:r>
              <w:r>
                <w:t xml:space="preserve">Som det kommer frem av vedtaket i denne saken så omfattes ikke lenger idrettsanlegg av ordningen. Det ble videre presisert at ordningen omfatter mindre vedlikeholdsprosjekter. Budsjettrammen ble redusert med kr 100 00 (fra kr 226 600 til kr 126 600 i 2024). I 2025 var rammen på kr  131 000 og i 2026 er det satt av kr. 135 600</w:t>
              </w:r>
            </w:p>
            <w:p>
              <w:pPr>
                <w:spacing w:after="160"/>
              </w:pPr>
              <w:r>
                <w:t xml:space="preserve">Det er i år 4 søkere. Etter at ordningen ble endret med virkning fra 2024 har det vært en nedgang i antall søkere. Det var 13 søkere i 2023, 4 søkere i 2024 og 5 søkere i 2025. Nedgangen må sees i sammenheng med omleggingen av ordningen. Med virkning fra 2024 så var ikke idrettslagene søknadsberettigde lenger, og det var de som utgjorde hovedparten av søknadsmassen.</w:t>
              </w:r>
            </w:p>
            <w:tbl>
              <w:tblPr>
                <w:tblStyle w:val="TableGrid"/>
                <w:tblW w:w="9000" w:type="dxa"/>
                <w:tblLayout w:type="fixed"/>
                <w:tblLook w:firstRow="false" w:lastRow="false" w:firstColumn="false" w:lastColumn="false"/>
              </w:tblPr>
              <w:tblGrid>
                <w:gridCol w:w="631.8"/>
                <w:gridCol w:w="5340.6"/>
                <w:gridCol w:w="3027.6"/>
              </w:tblGrid>
              <w:tr>
                <w:trPr>
                  <w:tblCellSpacing w:w="0" w:type="dxa"/>
                </w:trPr>
                <w:tc>
                  <w:tcPr>
                    <w:vAlign w:val="center"/>
                  </w:tcPr>
                  <w:p>
                    <w:pPr>
                      <w:spacing w:after="160"/>
                    </w:pPr>
                    <w:r>
                      <w:t xml:space="preserve"> </w:t>
                    </w:r>
                  </w:p>
                </w:tc>
                <w:tc>
                  <w:tcPr>
                    <w:vAlign w:val="center"/>
                  </w:tcPr>
                  <w:p>
                    <w:pPr>
                      <w:spacing w:after="160"/>
                    </w:pPr>
                    <w:r>
                      <w:rPr>
                        <w:b/>
                      </w:rPr>
                      <w:t xml:space="preserve">Organisasjon</w:t>
                    </w:r>
                  </w:p>
                </w:tc>
                <w:tc>
                  <w:tcPr>
                    <w:vAlign w:val="center"/>
                  </w:tcPr>
                  <w:p>
                    <w:pPr>
                      <w:spacing w:after="160"/>
                    </w:pPr>
                    <w:r>
                      <w:rPr>
                        <w:b/>
                      </w:rPr>
                      <w:t xml:space="preserve">Tildelt beløp</w:t>
                    </w:r>
                  </w:p>
                </w:tc>
              </w:tr>
              <w:tr>
                <w:trPr>
                  <w:tblCellSpacing w:w="0" w:type="dxa"/>
                </w:trPr>
                <w:tc>
                  <w:tcPr>
                    <w:vAlign w:val="center"/>
                  </w:tcPr>
                  <w:p>
                    <w:pPr>
                      <w:spacing w:after="160"/>
                    </w:pPr>
                    <w:r>
                      <w:t xml:space="preserve">1</w:t>
                    </w:r>
                  </w:p>
                </w:tc>
                <w:tc>
                  <w:tcPr>
                    <w:vAlign w:val="center"/>
                  </w:tcPr>
                  <w:p>
                    <w:pPr>
                      <w:spacing w:after="160"/>
                    </w:pPr>
                    <w:r>
                      <w:t xml:space="preserve">Heistad Speidergruppe</w:t>
                    </w:r>
                  </w:p>
                </w:tc>
                <w:tc>
                  <w:tcPr>
                    <w:vAlign w:val="center"/>
                  </w:tcPr>
                  <w:p>
                    <w:pPr>
                      <w:jc w:val="right"/>
                      <w:spacing w:after="160"/>
                    </w:pPr>
                    <w:r>
                      <w:t xml:space="preserve">39 000</w:t>
                    </w:r>
                  </w:p>
                </w:tc>
              </w:tr>
              <w:tr>
                <w:trPr>
                  <w:tblCellSpacing w:w="0" w:type="dxa"/>
                </w:trPr>
                <w:tc>
                  <w:tcPr>
                    <w:vAlign w:val="center"/>
                  </w:tcPr>
                  <w:p>
                    <w:pPr>
                      <w:spacing w:after="160"/>
                    </w:pPr>
                    <w:r>
                      <w:t xml:space="preserve">2</w:t>
                    </w:r>
                  </w:p>
                </w:tc>
                <w:tc>
                  <w:tcPr>
                    <w:vAlign w:val="center"/>
                  </w:tcPr>
                  <w:p>
                    <w:pPr>
                      <w:spacing w:after="160"/>
                    </w:pPr>
                    <w:r>
                      <w:t xml:space="preserve">Speide hytta Speiderglimt</w:t>
                    </w:r>
                  </w:p>
                </w:tc>
                <w:tc>
                  <w:tcPr>
                    <w:vAlign w:val="center"/>
                  </w:tcPr>
                  <w:p>
                    <w:pPr>
                      <w:jc w:val="right"/>
                      <w:spacing w:after="160"/>
                    </w:pPr>
                    <w:r>
                      <w:t xml:space="preserve">32 000</w:t>
                    </w:r>
                  </w:p>
                </w:tc>
              </w:tr>
              <w:tr>
                <w:trPr>
                  <w:tblCellSpacing w:w="0" w:type="dxa"/>
                </w:trPr>
                <w:tc>
                  <w:tcPr>
                    <w:vAlign w:val="center"/>
                  </w:tcPr>
                  <w:p>
                    <w:pPr>
                      <w:spacing w:after="160"/>
                    </w:pPr>
                    <w:r>
                      <w:t xml:space="preserve">3</w:t>
                    </w:r>
                  </w:p>
                </w:tc>
                <w:tc>
                  <w:tcPr>
                    <w:vAlign w:val="center"/>
                  </w:tcPr>
                  <w:p>
                    <w:pPr>
                      <w:spacing w:after="160"/>
                    </w:pPr>
                    <w:r>
                      <w:t xml:space="preserve">Speiderhytta Trollheim</w:t>
                    </w:r>
                  </w:p>
                </w:tc>
                <w:tc>
                  <w:tcPr>
                    <w:vAlign w:val="center"/>
                  </w:tcPr>
                  <w:p>
                    <w:pPr>
                      <w:jc w:val="right"/>
                      <w:spacing w:after="160"/>
                    </w:pPr>
                    <w:r>
                      <w:t xml:space="preserve">32 000</w:t>
                    </w:r>
                  </w:p>
                </w:tc>
              </w:tr>
              <w:tr>
                <w:trPr>
                  <w:tblCellSpacing w:w="0" w:type="dxa"/>
                </w:trPr>
                <w:tc>
                  <w:tcPr>
                    <w:vAlign w:val="center"/>
                  </w:tcPr>
                  <w:p>
                    <w:pPr>
                      <w:spacing w:after="160"/>
                    </w:pPr>
                    <w:r>
                      <w:t xml:space="preserve">4</w:t>
                    </w:r>
                  </w:p>
                </w:tc>
                <w:tc>
                  <w:tcPr>
                    <w:vAlign w:val="center"/>
                  </w:tcPr>
                  <w:p>
                    <w:pPr>
                      <w:spacing w:after="160"/>
                    </w:pPr>
                    <w:r>
                      <w:t xml:space="preserve">1. Herøya Speidergruppe - Almedalshytta</w:t>
                    </w:r>
                  </w:p>
                </w:tc>
                <w:tc>
                  <w:tcPr>
                    <w:vAlign w:val="center"/>
                  </w:tcPr>
                  <w:p>
                    <w:pPr>
                      <w:jc w:val="right"/>
                      <w:spacing w:after="160"/>
                    </w:pPr>
                    <w:r>
                      <w:t xml:space="preserve">32 600</w:t>
                    </w:r>
                  </w:p>
                </w:tc>
              </w:tr>
            </w:tbl>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www.porsgrunn.kommune.no/kultur-idrett-og-fritid/tilskuddsordninger/bestemmelser-for-tilskuddsordningene/" TargetMode="External" Id="R2fe01829e6f54311" /><Relationship Type="http://schemas.openxmlformats.org/officeDocument/2006/relationships/hyperlink" Target="https://www.porsgrunn.kommune.no/kultur-idrett-og-fritid/tilskuddsordninger/idrett-friluft-og-folkehelse/tilskudd-til-vedlikehold-av-organisasjonseide-anlegg/" TargetMode="External" Id="R32a208fd2b314def" /><Relationship Type="http://schemas.openxmlformats.org/officeDocument/2006/relationships/hyperlink" Target="https://innsynpluss.onacos.no/api/presentation/v2/nye-innsyn/filer/v-f5df0d82__1c5e__499f__b1bd__7406ec820886-61924_2_A!d-1100030529!Q1YcAg?pid=6" TargetMode="External" Id="R33185d2f1b5e4e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Tilskudd til vedlikehold av organisasjonseide anlegg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