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d50a1cf46b844fc7">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d50a1cf46b844f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