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26/5158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Stine Gonsholt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30.04.2026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Retningslinjer for fjerning, kassasjon eller omplassering av kunstverk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32/26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barn, unge og kultur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27.05.2026</w:t>
                        </w:r>
                      </w:sdtContent>
                    </w:sdt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/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Bystyret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 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 Forslag til </w:t>
              </w:r>
              <w:r>
                <w:rPr>
                  <w:i/>
                </w:rPr>
                <w:t xml:space="preserve">Retningslinjer for fjerning, kassasjon eller omplassering av kunstverk</w:t>
              </w:r>
              <w:r>
                <w:t xml:space="preserve"> vedtas slik de fremkommer av saken.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I Forvaltningsrevisjonsrapporten </w:t>
              </w:r>
              <w:r>
                <w:rPr>
                  <w:i/>
                </w:rPr>
                <w:t xml:space="preserve">KUNST - </w:t>
              </w:r>
              <w:r>
                <w:t xml:space="preserve">forvaltning og sikring (2020) påpekes svakheter ved rutiner i forbindelse med kunstforvaltningen. </w:t>
              </w:r>
            </w:p>
            <w:p>
              <w:pPr>
                <w:spacing w:after="160"/>
              </w:pPr>
              <w:r>
                <w:t xml:space="preserve">Forslaget til retningslinjer for fjerning, kassasjon eller omplassering av kunstverk, vil sammen med vedtatte </w:t>
              </w:r>
              <w:r>
                <w:rPr>
                  <w:i/>
                </w:rPr>
                <w:t xml:space="preserve">Retningslinjer for Kunst i offentlig rom (Vedtatt av bystyret i sak 8/94, med endringer i bystyresak 78/01, og revidert og vedtatt av Bystyret sak 53/26, 23.04 2026) </w:t>
              </w:r>
              <w:r>
                <w:t xml:space="preserve">og </w:t>
              </w:r>
              <w:r>
                <w:rPr>
                  <w:i/>
                </w:rPr>
                <w:t xml:space="preserve">Retningslinjer for kunstgaver (Bystyret sak 52/26, 23.04 2026)</w:t>
              </w:r>
              <w:r>
                <w:t xml:space="preserve">, bidra til å sikre en ryddig og lovmessig prosess. </w:t>
              </w:r>
            </w:p>
            <w:p>
              <w:pPr>
                <w:spacing w:after="160"/>
              </w:pPr>
              <w:r>
                <w:t xml:space="preserve">Med dette mener vi at dette punktet i nevnte revisjonsrapport er bragt i orden.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Forslag til retningslinjer har vært vurdert av Kommuneadvokaten. </w:t>
              </w:r>
            </w:p>
            <w:p>
              <w:pPr>
                <w:spacing w:after="160"/>
              </w:pPr>
              <w:r>
                <w:t xml:space="preserve">Vedlegg:</w:t>
              </w:r>
            </w:p>
            <w:p>
              <w:pPr>
                <w:spacing w:after="160"/>
              </w:pPr>
              <w:hyperlink w:history="true" r:id="R194fdf7496f742ca">
                <w:r>
                  <w:drawing>
                    <wp:inline distT="0" distB="0" distL="0" distR="0">
                      <wp:extent cx="342900" cy="342900"/>
                      <wp:effectExtent l="19050" t="0" r="0" b="0"/>
                      <wp:docPr id="4" name="Picture 2" descr="">
                        <a:hlinkClick r:id="R194fdf7496f742ca" tooltip=""/>
                      </wp:docPr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2" name="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33f3ddf56b7f4de6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Style w:val="Hyperlink"/>
                  </w:rPr>
                  <w:t xml:space="preserve">Retningslinjer for kunst i offentlig rom 2026.pdf</w:t>
                </w:r>
              </w:hyperlink>
            </w:p>
            <w:p>
              <w:pPr>
                <w:spacing w:after="160"/>
              </w:pPr>
              <w:hyperlink w:history="true" r:id="Rcbce4e6690c44865">
                <w:r>
                  <w:drawing>
                    <wp:inline distT="0" distB="0" distL="0" distR="0">
                      <wp:extent cx="342900" cy="342900"/>
                      <wp:effectExtent l="19050" t="0" r="0" b="0"/>
                      <wp:docPr id="5" name="Picture 3" descr="">
                        <a:hlinkClick r:id="Rcbce4e6690c44865" tooltip=""/>
                      </wp:docPr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3" name="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33f3ddf56b7f4de6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Style w:val="Hyperlink"/>
                  </w:rPr>
                  <w:t xml:space="preserve">Retningslinjer for kunstgaver-2026.pdf</w:t>
                </w:r>
              </w:hyperlink>
            </w:p>
            <w:p>
              <w:pPr>
                <w:spacing w:after="160"/>
              </w:pPr>
              <w:r>
                <w:t xml:space="preserve"> 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t xml:space="preserve">Kommunen må fra tid til annen fjerne, kassere eller omplassere kunst i offentlig rom som følge av at kunstverket er uopprettelig skadet, utgjør en sikkerhetsrisiko, eller at det er teknisk eller økonomisk uforsvarlig å vedlikeholde det. Dette kan også skyldes at bygget eller området skal rives eller endre formål. Tilsvarende gjelder ved endringer i bruk og/eller funksjon, eller dersom byutviklingen tilsier omplassering eller fjerning. </w:t>
              </w:r>
            </w:p>
            <w:p>
              <w:pPr>
                <w:spacing w:after="160"/>
              </w:pPr>
              <w:r>
                <w:t xml:space="preserve">Formålet med forslaget til retningslinje for fjerning, kassasjon eller omplassering av kunstverk som nå legges frem, er å sikre en ryddig og lovmessig prosess.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Retningslinjer for fjerning, kassasjon eller omplassering av kunstverk</w:t>
              </w: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Porsgrunn kommune forbeholder seg retten til å fjerne, kassere eller omplassere kunstverk og monumenter tilknyttet offentlige bygg og rom. Retningslinjene gjelder også integrert, eller annen kunst som berøres ved endring i eiendomsforhold. Slike saker følges opp av Kulturavdelingen, Område Samfunn. Beslutninger skal forankres tverrfaglig, eksempelvis med Kommunalteknikk, Bygg og eiendomsdrift eller Byutvikling. Porsgrunn kommune treffer endelig beslutning i slike saker, innenfor rammene av gjeldende lovverk og avtaler. Kunstner eller rettighetshaver skal, der det er mulig, informeres på forhånd, og dokumentasjon av vurderinger og beslutninger skal arkiveres. </w:t>
              </w:r>
            </w:p>
            <w:p>
              <w:pPr>
                <w:spacing w:after="160"/>
              </w:pPr>
              <w:r>
                <w:t xml:space="preserve">Åndsverkloven (15. juni 2018 nr. 40) gjelder i alle tilfeller. </w:t>
              </w:r>
              <w:r>
                <w:br/>
              </w:r>
              <w:r>
                <w:t xml:space="preserve">  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Formål</w:t>
              </w: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Retningslinjen skal sikre en ryddig og lovmessig prosess ved fjerning, kassasjon eller omplassering av kunstverk i Porsgrunn kommune. Den skal ivareta kunstneriske og juridiske hensyn, og bidra til åpenhet og god dokumentasjon.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tbl>
              <w:tblPr>
                <w:tblStyle w:val="TableGrid"/>
                <w:tblW w:w="9000" w:type="dxa"/>
                <w:tblLayout w:type="fixed"/>
                <w:tblLook w:firstRow="false" w:lastRow="false" w:firstColumn="false" w:lastColumn="false"/>
              </w:tblPr>
              <w:tblGrid>
                <w:gridCol w:w="2652.3"/>
                <w:gridCol w:w="6347.7"/>
              </w:tblGrid>
              <w:tr>
                <w:trPr>
                  <w:tblCellSpacing w:w="0" w:type="dxa"/>
                </w:trPr>
                <w:tc>
                  <w:tcPr>
                    <w:tcW w:w="2205" w:type="dxa"/>
                    <w:tcBorders>
                      <w:top w:val="none" w:color="000000" w:sz="59"/>
                      <w:left w:val="none" w:color="000000" w:sz="59"/>
                      <w:bottom w:val="single" w:color="000000" w:sz="14"/>
                      <w:right w:val="none" w:color="000000" w:sz="59"/>
                    </w:tcBorders>
                    <w:shd w:val="clear" w:color="auto" w:fill="FFFFFF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b/>
                        <w:shd w:val="clear" w:fill="FFFFFF"/>
                      </w:rPr>
                      <w:t xml:space="preserve">Beskrivelse og krav</w:t>
                    </w:r>
                    <w:r>
                      <w:rPr>
                        <w:shd w:val="clear" w:fill="FFFFFF"/>
                      </w:rPr>
                      <w:t xml:space="preserve">  </w:t>
                    </w:r>
                  </w:p>
                </w:tc>
                <w:tc>
                  <w:tcPr>
                    <w:tcW w:w="6840" w:type="dxa"/>
                    <w:tcBorders>
                      <w:top w:val="none" w:color="000000" w:sz="59"/>
                      <w:left w:val="none" w:color="000000" w:sz="59"/>
                      <w:bottom w:val="single" w:color="000000" w:sz="14"/>
                      <w:right w:val="none" w:color="000000" w:sz="59"/>
                    </w:tcBorders>
                    <w:shd w:val="clear" w:color="auto" w:fill="FFFFFF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shd w:val="clear" w:fill="FFFFFF"/>
                      </w:rP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205" w:type="dxa"/>
                    <w:tcBorders>
                      <w:top w:val="single" w:color="000000" w:sz="14"/>
                      <w:left w:val="none" w:color="000000" w:sz="59"/>
                      <w:bottom w:val="single" w:color="000000" w:sz="14"/>
                      <w:right w:val="none" w:color="000000" w:sz="59"/>
                    </w:tcBorders>
                    <w:shd w:val="clear" w:color="auto" w:fill="FFFFFF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shd w:val="clear" w:fill="FFFFFF"/>
                      </w:rPr>
                      <w:t xml:space="preserve">Identifiser årsaken  </w:t>
                    </w:r>
                  </w:p>
                </w:tc>
                <w:tc>
                  <w:tcPr>
                    <w:tcW w:w="6840" w:type="dxa"/>
                    <w:tcBorders>
                      <w:top w:val="single" w:color="000000" w:sz="14"/>
                      <w:left w:val="none" w:color="000000" w:sz="59"/>
                      <w:bottom w:val="single" w:color="000000" w:sz="14"/>
                      <w:right w:val="none" w:color="000000" w:sz="59"/>
                    </w:tcBorders>
                    <w:shd w:val="clear" w:color="auto" w:fill="FFFFFF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shd w:val="clear" w:fill="FFFFFF"/>
                      </w:rPr>
                      <w:t xml:space="preserve">Verket er uopprettelig skadet, utgjør en sikkerhetsrisiko, eller det er teknisk eller økonomisk uforsvarlig å vedlikeholde det. Kan også skyldes at bygget eller området skal rives eller endre formål. Tilsvarende gjelder ved endringer i bruk og/eller funksjon, eller dersom byutvikling tilsier omplassering eller fjerning.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205" w:type="dxa"/>
                    <w:tcBorders>
                      <w:top w:val="single" w:color="000000" w:sz="14"/>
                      <w:left w:val="none" w:color="000000" w:sz="59"/>
                      <w:bottom w:val="single" w:color="000000" w:sz="14"/>
                      <w:right w:val="none" w:color="000000" w:sz="59"/>
                    </w:tcBorders>
                    <w:shd w:val="clear" w:color="auto" w:fill="FFFFFF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shd w:val="clear" w:fill="FFFFFF"/>
                      </w:rPr>
                      <w:t xml:space="preserve">Faglig vurdering   </w:t>
                    </w:r>
                  </w:p>
                </w:tc>
                <w:tc>
                  <w:tcPr>
                    <w:tcW w:w="6840" w:type="dxa"/>
                    <w:tcBorders>
                      <w:top w:val="single" w:color="000000" w:sz="14"/>
                      <w:left w:val="none" w:color="000000" w:sz="59"/>
                      <w:bottom w:val="single" w:color="000000" w:sz="14"/>
                      <w:right w:val="none" w:color="000000" w:sz="59"/>
                    </w:tcBorders>
                    <w:shd w:val="clear" w:color="auto" w:fill="FFFFFF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shd w:val="clear" w:fill="FFFFFF"/>
                      </w:rPr>
                      <w:t xml:space="preserve">Et kunstfaglig personale må utarbeide en tilstandsrapport. Denne skal dokumentere verkets status og vurdere om restaurering er hensiktsmessig før beslutning tas. </w:t>
                    </w:r>
                  </w:p>
                  <w:p>
                    <w:pPr>
                      <w:spacing w:after="160"/>
                    </w:pPr>
                    <w:r>
                      <w:rPr>
                        <w:shd w:val="clear" w:fill="FFFFFF"/>
                      </w:rPr>
                      <w:t xml:space="preserve">Beslutninger om kassasjon, fjerning eller omplassering </w:t>
                    </w:r>
                    <w:r>
                      <w:rPr>
                        <w:strike/>
                        <w:shd w:val="clear" w:fill="FFFFFF"/>
                      </w:rPr>
                      <w:t xml:space="preserve">s</w:t>
                    </w:r>
                    <w:r>
                      <w:rPr>
                        <w:shd w:val="clear" w:fill="FFFFFF"/>
                      </w:rPr>
                      <w:t xml:space="preserve">kal bygge på en samlet vurdering der kunstfaglige, tekniske og økonomiske forhold inngår.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205" w:type="dxa"/>
                    <w:tcBorders>
                      <w:top w:val="single" w:color="000000" w:sz="14"/>
                      <w:left w:val="none" w:color="000000" w:sz="59"/>
                      <w:bottom w:val="single" w:color="000000" w:sz="14"/>
                      <w:right w:val="none" w:color="000000" w:sz="59"/>
                    </w:tcBorders>
                    <w:shd w:val="clear" w:color="auto" w:fill="FFFFFF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shd w:val="clear" w:fill="FFFFFF"/>
                      </w:rPr>
                      <w:t xml:space="preserve">Kontakt med rettighetshaver  </w:t>
                    </w:r>
                  </w:p>
                </w:tc>
                <w:tc>
                  <w:tcPr>
                    <w:tcW w:w="6840" w:type="dxa"/>
                    <w:tcBorders>
                      <w:top w:val="single" w:color="000000" w:sz="14"/>
                      <w:left w:val="none" w:color="000000" w:sz="59"/>
                      <w:bottom w:val="single" w:color="000000" w:sz="14"/>
                      <w:right w:val="none" w:color="000000" w:sz="59"/>
                    </w:tcBorders>
                    <w:shd w:val="clear" w:color="auto" w:fill="FFFFFF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shd w:val="clear" w:fill="FFFFFF"/>
                      </w:rPr>
                      <w:t xml:space="preserve">Kunstneren eller rettighetshaver (eventuelt arvinger) skal varsles i god tid før beslutning treffes. I henhold til åndsverkloven har kunstneren rett til å uttale seg, og skal få tilbud om å overta verket kostnadsfritt før det destrueres så langt dette er praktisk og forsvarlig mulig.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205" w:type="dxa"/>
                    <w:tcBorders>
                      <w:top w:val="single" w:color="000000" w:sz="14"/>
                      <w:left w:val="none" w:color="000000" w:sz="59"/>
                      <w:bottom w:val="none" w:color="000000" w:sz="59"/>
                      <w:right w:val="none" w:color="000000" w:sz="59"/>
                    </w:tcBorders>
                    <w:shd w:val="clear" w:color="auto" w:fill="FFFFFF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shd w:val="clear" w:fill="FFFFFF"/>
                      </w:rPr>
                      <w:t xml:space="preserve">Håndtering av verket  </w:t>
                    </w:r>
                  </w:p>
                </w:tc>
                <w:tc>
                  <w:tcPr>
                    <w:tcW w:w="6840" w:type="dxa"/>
                    <w:tcBorders>
                      <w:top w:val="single" w:color="000000" w:sz="14"/>
                      <w:left w:val="none" w:color="000000" w:sz="59"/>
                      <w:bottom w:val="none" w:color="000000" w:sz="59"/>
                      <w:right w:val="none" w:color="000000" w:sz="59"/>
                    </w:tcBorders>
                    <w:shd w:val="clear" w:color="auto" w:fill="FFFFFF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shd w:val="clear" w:fill="FFFFFF"/>
                      </w:rPr>
                      <w:t xml:space="preserve">1. Gjenbruk: omplassering eller donasjon til museum eller arkiv dersom kunstner/avtalen tillater det.  </w:t>
                    </w:r>
                    <w:r>
                      <w:br/>
                    </w:r>
                    <w:r>
                      <w:rPr>
                        <w:shd w:val="clear" w:fill="FFFFFF"/>
                      </w:rPr>
                      <w:t xml:space="preserve">2. Destruksjon: Skjer dersom verket er i fysisk oppløsning; hvor verket tilstand vurderes som uopprettelig skadet, utgjør en sikkerhetsrisiko, eller det er teknisk/økonomisk uforsvarlig å vedlikeholde det. Kan også skyldes at bygget/området skal rives eller endre formål. </w:t>
                    </w:r>
                  </w:p>
                </w:tc>
              </w:tr>
            </w:tbl>
            <w:p>
              <w:pPr>
                <w:spacing w:after="160"/>
              </w:pPr>
              <w:r>
                <w:rPr>
                  <w:b/>
                </w:rPr>
                <w:t xml:space="preserve">Protokoll</w:t>
              </w:r>
              <w:r>
                <w:t xml:space="preserve">  </w:t>
              </w:r>
            </w:p>
            <w:p>
              <w:pPr>
                <w:spacing w:after="160"/>
              </w:pPr>
              <w:r>
                <w:t xml:space="preserve">Det skal føres protokoll for alle saker om fjerning, kassasjon eller omplassering. </w:t>
              </w:r>
              <w:r>
                <w:br/>
              </w:r>
              <w:r>
                <w:t xml:space="preserve"> </w:t>
              </w:r>
              <w:r>
                <w:br/>
              </w:r>
              <w:r>
                <w:t xml:space="preserve">Protokollen skal som minimum inneholde: </w:t>
              </w:r>
            </w:p>
            <w:tbl>
              <w:tblPr>
                <w:tblStyle w:val="TableGrid"/>
                <w:tblW w:w="9000" w:type="dxa"/>
                <w:tblLayout w:type="fixed"/>
                <w:tblLook w:firstRow="false" w:lastRow="false" w:firstColumn="false" w:lastColumn="false"/>
              </w:tblPr>
              <w:tblGrid>
                <w:gridCol w:w="9000"/>
              </w:tblGrid>
              <w:tr>
                <w:trPr>
                  <w:tblCellSpacing w:w="0" w:type="dxa"/>
                </w:trPr>
                <w:tc>
                  <w:tcPr>
                    <w:tcW w:w="2790" w:type="dxa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Tittel på kunstverket:  </w:t>
                    </w:r>
                  </w:p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790" w:type="dxa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Årstall:  </w:t>
                    </w:r>
                  </w:p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790" w:type="dxa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Teknikk/materiale:  </w:t>
                    </w:r>
                  </w:p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790" w:type="dxa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Sted:  </w:t>
                    </w:r>
                  </w:p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790" w:type="dxa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Kunstner:  </w:t>
                    </w:r>
                  </w:p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790" w:type="dxa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Formell eier av kunstverk: 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790" w:type="dxa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Årsak:  </w:t>
                    </w:r>
                  </w:p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790" w:type="dxa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Begrunnelse for tiltak: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790" w:type="dxa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Kunstner eller rettighetshaver (eventuelt) arving er informert: 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790" w:type="dxa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Eventuelle merknader eller uenighet:  </w:t>
                    </w:r>
                  </w:p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790" w:type="dxa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Dato/sted:  </w:t>
                    </w:r>
                  </w:p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790" w:type="dxa"/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Underskrift formell eier: </w:t>
                    </w:r>
                    <w:r>
                      <w:br/>
                    </w:r>
                    <w:r>
                      <w:t xml:space="preserve">Evt. signatur fra ansvarlig enhet: </w:t>
                    </w:r>
                  </w:p>
                </w:tc>
              </w:tr>
            </w:tbl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Dokumentasjonen skal arkiveres i kommunens saksarkivsystem.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Effekten av saken </w:t>
              </w:r>
            </w:p>
            <w:tbl>
              <w:tblPr>
                <w:tblStyle w:val="TableGrid"/>
                <w:tblW w:w="9000" w:type="dxa"/>
                <w:tblLayout w:type="fixed"/>
                <w:tblLook w:firstRow="true" w:lastRow="false" w:firstColumn="false" w:lastColumn="false"/>
              </w:tblPr>
              <w:tblGrid>
                <w:gridCol w:w="4434.3"/>
                <w:gridCol w:w="1084.5"/>
                <w:gridCol w:w="1067.4"/>
                <w:gridCol w:w="1009.8"/>
                <w:gridCol w:w="1404"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Negativ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Nøytral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Positiv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Ikke relevant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klima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ingen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miljøet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ingen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Økonomiske konsekvenser i et langt 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bedre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folkehelsen, herunder vurdering av </w:t>
                    </w:r>
                  </w:p>
                  <w:p>
                    <w:pPr>
                      <w:spacing w:after="160"/>
                    </w:pPr>
                    <w:r>
                      <w:t xml:space="preserve">tilpasning til aldersvennlig samfunn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ingen</w:t>
                    </w:r>
                  </w:p>
                </w:tc>
              </w:tr>
            </w:tbl>
            <w:p>
              <w:pPr>
                <w:spacing w:after="160"/>
              </w:pPr>
              <w:r>
                <w:rPr>
                  <w:i/>
                  <w:vertAlign w:val="subscript"/>
                </w:rPr>
                <w:t xml:space="preserve">Forklaring: Tiltaket er vurdert ut fra fire perspektiver for å bestemme om det vil gjøre dagens situasjon forverret, uendret eller bedre. Dersom tiltaket ikke påvirker de nevnte perspektivene, er alternativet "ingen" påvirkning valgt.</w:t>
              </w:r>
            </w:p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Relationship Type="http://schemas.openxmlformats.org/officeDocument/2006/relationships/hyperlink" Target="https://porsgrunnkommune.sharepoint.com/:b:/s/OA-Kulturavdelingen/IQDaGCyyfm2ATJdLXAFxpRFsAQUcuHhXT2W0ZL1jG7hgLVk?e=1Dbzxf" TargetMode="External" Id="R194fdf7496f742ca" /><Relationship Type="http://schemas.openxmlformats.org/officeDocument/2006/relationships/image" Target="/media/image.jpg" Id="R33f3ddf56b7f4de6" /><Relationship Type="http://schemas.openxmlformats.org/officeDocument/2006/relationships/hyperlink" Target="https://porsgrunnkommune.sharepoint.com/:b:/s/OA-Kulturavdelingen/IQA_9ppljH_WQ4jb-jUMzd-2AfeeUAt_UeaGOknX_ah2Eo4?e=aXu7y4" TargetMode="External" Id="Rcbce4e6690c4486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Retningslinjer for fjerning, kassasjon eller omplassering av kunstverk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