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26/5548</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Gry Løkaas Kleppe</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Revidering av vedtekter for kommunale barnehager</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t xml:space="preserve">Kommunedirektøren anbefaler at forslag til reviderte vedtekter for kommunale barnehager i Porsgrunn kommune vedtas. Vedtektene erstatter gjeldende vedtekter vedtatt 29. november 2023 og vil være gjeldende fra 1. august 2026.</w:t>
              </w:r>
            </w:p>
            <w:p>
              <w:pPr>
                <w:spacing w:after="160"/>
              </w:pPr>
              <w:r>
                <w:t xml:space="preserve">Kommunedirektøren gis fullmakt til å foreta nødvendige redaksjonelle og språklige justeringer i vedtektene, samt oppdateringer som følger direkte av endringer i lov, forskrift eller nasjonale føringer, forutsatt at dette ikke innebærer materielle endringer i innholdet. Slike endringer skal legges frem for utvalg for barn, unge og kultur til orientering.</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t xml:space="preserve">Gjeldende vedtekter for kommunale barnehager i Porsgrunn kommune ble vedtatt 29.11.2023. Vedtektene skal gi foresatte tydelig informasjon om det som er viktig for forholdet til barnehagen, og bidra til forutsigbar og lik praksis i alle de kommunale barnehagene.</w:t>
              </w:r>
            </w:p>
            <w:p>
              <w:pPr>
                <w:spacing w:after="160"/>
              </w:pPr>
              <w:r>
                <w:t xml:space="preserve">Det reviderte forslaget har oppdatert språk, tydeligere struktur og oppdaterte lovhenvisninger. I tillegg er enkelte punkter presisert for å redusere tolkningsrommet og styrke rettssikkerheten og enhetlig praktisering.</w:t>
              </w:r>
            </w:p>
            <w:p>
              <w:pPr>
                <w:spacing w:after="160"/>
              </w:pPr>
              <w:r>
                <w:t xml:space="preserve">De viktigste innholdsmessige endringene gjelder opptakskriteriene, som foreslås gjort tydeligere og mer etterprøvbare. Det anbefales også å ta inn bestemmelser som gir mulighet til å regulere barnehagenes åpningstid og barnas oppholdstid ved behov.</w:t>
              </w:r>
            </w:p>
          </w:sdtContent>
        </w:sdt>
        <w:sdt>
          <w:sdtPr>
            <w:alias w:val="SaksTekst"/>
            <w:tag w:val="SaksTekst"/>
            <w:id w:val="-1309477531"/>
          </w:sdtPr>
          <w:sdtContent>
            <w:p>
              <w:pPr>
                <w:spacing w:after="160"/>
              </w:pPr>
              <w:r>
                <w:t xml:space="preserve">Alle private og kommunale barnehager er pliktig til å nedfelle vedtekter. Hovedhensikt med vedtektene er å gi opplysninger som har betydning for foreldrenes forhold til barnehagen. Foruten opplysninger om eierforhold, formål og antall medlemmer i barnehagens samarbeidsutvalg stiller barnehagelovens § 8 krav om at bestemmelser om opptakskriterier og barnehagens åpningstid er nedfelt i vedtektene. Vedtektene inneholder i tillegg bestemmelser om blant annet foreldrebetaling, oppsigelse, ferie, bemanning og internkontroll. Slike bestemmelser er ikke lovpålagt vedtektsinnhold, men vurderes som hensiktsmessige og vanlige i kommunale barnehager, og ligger innenfor rammene av gjeldende lov og forskrift. </w:t>
              </w:r>
            </w:p>
            <w:p>
              <w:pPr>
                <w:spacing w:after="160"/>
              </w:pPr>
              <w:r>
                <w:rPr>
                  <w:b/>
                </w:rPr>
                <w:t xml:space="preserve">Medvirkning og innspill til saken</w:t>
              </w:r>
            </w:p>
            <w:p>
              <w:pPr>
                <w:spacing w:after="160"/>
              </w:pPr>
              <w:r>
                <w:t xml:space="preserve">Kvalitetsutvalget for barnehagene har utarbeidet første utkast til nye vedtekter. Dette har dannet grunnlag for drøfting i ledergruppa og i personalet. Revidert utkast har deretter blitt lagt frem i medbestemmelse og til behandling i de fleste av barnehagenes samarbeidsutvalg. Saken ble ikke lagt fram i PKFU da det var manglende oppmøte fra foreldrerepresentanter i barnehagene. Samarbeidsutvalgene har i hovedsak stilt seg bak forslaget. Samarbeidsutvalget i Flåtten barnehage har i tillegg gitt følgende innspill: "SU stiller seg bak utkastet til vedtektene. Det ble bemerket at § 9.1 vil være til barnets beste og det er fint om det kan medføre at voksentettheten blir størst når det er flest barn til stede. Det må være en viss fleksibilitet så foreldre kan få lagt tidene til å passe med eget arbeid. § 5.5 SU støtter at søsken får prioritet og at det er et opptakskriterie å prioritere de som har søkt barnehagen som nr.1"</w:t>
              </w:r>
            </w:p>
            <w:p>
              <w:pPr>
                <w:spacing w:after="160"/>
              </w:pPr>
              <w:r>
                <w:t xml:space="preserve"> </w:t>
              </w:r>
            </w:p>
            <w:p>
              <w:pPr>
                <w:spacing w:after="160"/>
              </w:pPr>
              <w:r>
                <w:rPr>
                  <w:b/>
                </w:rPr>
                <w:t xml:space="preserve">Utdyping av endringer per tema </w:t>
              </w:r>
            </w:p>
            <w:p>
              <w:pPr>
                <w:spacing w:after="160"/>
              </w:pPr>
              <w:r>
                <w:t xml:space="preserve">Struktur og språk</w:t>
              </w:r>
            </w:p>
            <w:p>
              <w:pPr>
                <w:pStyle w:val="ListParagraph"/>
                <w:numPr>
                  <w:ilvl w:val="0"/>
                  <w:numId w:val="1"/>
                </w:numPr>
                <w:spacing w:after="160"/>
              </w:pPr>
              <w:r>
                <w:t xml:space="preserve">Språk oppdatert til mer moderne og enhetlig begrepsbruk.</w:t>
              </w:r>
            </w:p>
            <w:p>
              <w:pPr>
                <w:pStyle w:val="ListParagraph"/>
                <w:numPr>
                  <w:ilvl w:val="0"/>
                  <w:numId w:val="1"/>
                </w:numPr>
                <w:spacing w:after="160"/>
              </w:pPr>
              <w:r>
                <w:t xml:space="preserve">Bestemmelser samlet tematisk for å gjøre vedtektene enklere å slå opp i.</w:t>
              </w:r>
            </w:p>
            <w:p>
              <w:pPr>
                <w:pStyle w:val="ListParagraph"/>
                <w:numPr>
                  <w:ilvl w:val="0"/>
                  <w:numId w:val="1"/>
                </w:numPr>
                <w:spacing w:after="160"/>
              </w:pPr>
              <w:r>
                <w:t xml:space="preserve">Presiseringer for å redusere lokale variasjoner i praktisering.</w:t>
              </w:r>
            </w:p>
            <w:p>
              <w:pPr>
                <w:spacing w:after="160"/>
              </w:pPr>
              <w:r>
                <w:t xml:space="preserve">Dugnad</w:t>
              </w:r>
            </w:p>
            <w:p>
              <w:pPr>
                <w:pStyle w:val="ListParagraph"/>
                <w:numPr>
                  <w:ilvl w:val="0"/>
                  <w:numId w:val="2"/>
                </w:numPr>
                <w:spacing w:after="160"/>
              </w:pPr>
              <w:r>
                <w:t xml:space="preserve">Mildere bestemmelse om forventning til deltakelse på dugnad, da kommunen ikke kan pålegge foreldre dette.</w:t>
              </w:r>
            </w:p>
            <w:p>
              <w:pPr>
                <w:spacing w:after="160"/>
              </w:pPr>
              <w:r>
                <w:t xml:space="preserve"> Opptak og klage</w:t>
              </w:r>
            </w:p>
            <w:p>
              <w:pPr>
                <w:pStyle w:val="ListParagraph"/>
                <w:numPr>
                  <w:ilvl w:val="0"/>
                  <w:numId w:val="3"/>
                </w:numPr>
                <w:spacing w:after="160"/>
              </w:pPr>
              <w:r>
                <w:t xml:space="preserve">Prioriteringsrekkefølge presentert samlet og mer tydelig.</w:t>
              </w:r>
            </w:p>
            <w:p>
              <w:pPr>
                <w:pStyle w:val="ListParagraph"/>
                <w:numPr>
                  <w:ilvl w:val="0"/>
                  <w:numId w:val="3"/>
                </w:numPr>
                <w:spacing w:after="160"/>
              </w:pPr>
              <w:r>
                <w:t xml:space="preserve">Henvisninger og klagebestemmelser justert for bedre juridisk presisjon.</w:t>
              </w:r>
            </w:p>
            <w:p>
              <w:pPr>
                <w:pStyle w:val="ListParagraph"/>
                <w:numPr>
                  <w:ilvl w:val="0"/>
                  <w:numId w:val="3"/>
                </w:numPr>
                <w:spacing w:after="160"/>
              </w:pPr>
              <w:r>
                <w:t xml:space="preserve">Formålet er ryddigere prosess og lettere forståelig informasjon til foresatte.</w:t>
              </w:r>
            </w:p>
            <w:p>
              <w:pPr>
                <w:spacing w:after="160"/>
              </w:pPr>
              <w:r>
                <w:t xml:space="preserve">Oppsigelse og mislighold</w:t>
              </w:r>
            </w:p>
            <w:p>
              <w:pPr>
                <w:pStyle w:val="ListParagraph"/>
                <w:numPr>
                  <w:ilvl w:val="0"/>
                  <w:numId w:val="4"/>
                </w:numPr>
                <w:spacing w:after="160"/>
              </w:pPr>
              <w:r>
                <w:t xml:space="preserve">Tydeligere skille mellom ordinær oppsigelse og oppsigelse som følge av mislighold.</w:t>
              </w:r>
            </w:p>
            <w:p>
              <w:pPr>
                <w:pStyle w:val="ListParagraph"/>
                <w:numPr>
                  <w:ilvl w:val="0"/>
                  <w:numId w:val="4"/>
                </w:numPr>
                <w:spacing w:after="160"/>
              </w:pPr>
              <w:r>
                <w:t xml:space="preserve">Presisering av hva som kan regnes som mislighold (for å redusere tolkningsrom).</w:t>
              </w:r>
            </w:p>
            <w:p>
              <w:pPr>
                <w:pStyle w:val="ListParagraph"/>
                <w:numPr>
                  <w:ilvl w:val="0"/>
                  <w:numId w:val="4"/>
                </w:numPr>
                <w:spacing w:after="160"/>
              </w:pPr>
              <w:r>
                <w:t xml:space="preserve">Bidrar til mer likebehandling og økt rettssikkerhet.</w:t>
              </w:r>
            </w:p>
            <w:p>
              <w:pPr>
                <w:spacing w:after="160"/>
              </w:pPr>
              <w:r>
                <w:t xml:space="preserve">Oppholdsbetaling</w:t>
              </w:r>
            </w:p>
            <w:p>
              <w:pPr>
                <w:pStyle w:val="ListParagraph"/>
                <w:numPr>
                  <w:ilvl w:val="0"/>
                  <w:numId w:val="5"/>
                </w:numPr>
                <w:spacing w:after="160"/>
              </w:pPr>
              <w:r>
                <w:t xml:space="preserve">Vedtektene peker i større grad til nasjonale regler (i stedet for å gjenta satser/prosenter lokalt).</w:t>
              </w:r>
            </w:p>
            <w:p>
              <w:pPr>
                <w:pStyle w:val="ListParagraph"/>
                <w:numPr>
                  <w:ilvl w:val="0"/>
                  <w:numId w:val="5"/>
                </w:numPr>
                <w:spacing w:after="160"/>
              </w:pPr>
              <w:r>
                <w:t xml:space="preserve">Mindre behov for hyppige vedtektsendringer ved statlige justeringer.</w:t>
              </w:r>
            </w:p>
            <w:p>
              <w:pPr>
                <w:pStyle w:val="ListParagraph"/>
                <w:numPr>
                  <w:ilvl w:val="0"/>
                  <w:numId w:val="5"/>
                </w:numPr>
                <w:spacing w:after="160"/>
              </w:pPr>
              <w:r>
                <w:t xml:space="preserve">Tydeliggjør hva som er lokal praksis vs. nasjonale rammer.</w:t>
              </w:r>
            </w:p>
            <w:p>
              <w:pPr>
                <w:spacing w:after="160"/>
              </w:pPr>
              <w:r>
                <w:t xml:space="preserve">Ferie, åpningstid og opphold</w:t>
              </w:r>
            </w:p>
            <w:p>
              <w:pPr>
                <w:pStyle w:val="ListParagraph"/>
                <w:numPr>
                  <w:ilvl w:val="0"/>
                  <w:numId w:val="6"/>
                </w:numPr>
                <w:spacing w:after="160"/>
              </w:pPr>
              <w:r>
                <w:t xml:space="preserve">Tydeligere bestemmelser om stengte uker for mer forutsigbarhet, i tråd med det som har vært praktisert.</w:t>
              </w:r>
            </w:p>
            <w:p>
              <w:pPr>
                <w:pStyle w:val="ListParagraph"/>
                <w:numPr>
                  <w:ilvl w:val="0"/>
                  <w:numId w:val="6"/>
                </w:numPr>
                <w:spacing w:after="160"/>
              </w:pPr>
              <w:r>
                <w:t xml:space="preserve">Klare meldefrister for ferie/tilstedeværelse – styrker planlegging av drift og bemanning.</w:t>
              </w:r>
            </w:p>
            <w:p>
              <w:pPr>
                <w:pStyle w:val="ListParagraph"/>
                <w:numPr>
                  <w:ilvl w:val="0"/>
                  <w:numId w:val="6"/>
                </w:numPr>
                <w:spacing w:after="160"/>
              </w:pPr>
              <w:r>
                <w:t xml:space="preserve">Tydeliggjør samarbeidsutvalgets rolle ved lokale variasjoner av åpningstid og i ferier</w:t>
              </w:r>
            </w:p>
            <w:p>
              <w:pPr>
                <w:pStyle w:val="ListParagraph"/>
                <w:numPr>
                  <w:ilvl w:val="0"/>
                  <w:numId w:val="6"/>
                </w:numPr>
                <w:spacing w:after="160"/>
              </w:pPr>
              <w:r>
                <w:t xml:space="preserve">Mer forutsigbarhet for foresatte og bedre ressursutnyttelse.</w:t>
              </w:r>
            </w:p>
            <w:p>
              <w:pPr>
                <w:pStyle w:val="ListParagraph"/>
                <w:numPr>
                  <w:ilvl w:val="0"/>
                  <w:numId w:val="6"/>
                </w:numPr>
                <w:spacing w:after="160"/>
              </w:pPr>
              <w:r>
                <w:t xml:space="preserve">Barns oppholdstid reguleres med makstid pr dag, men gis fleksibilitet innenfor en uke (i tråd med flere andre kommuners vedtekter)</w:t>
              </w:r>
            </w:p>
            <w:p>
              <w:pPr>
                <w:spacing w:after="160"/>
              </w:pPr>
              <w:r>
                <w:t xml:space="preserve">Bemanning ved fravær</w:t>
              </w:r>
            </w:p>
            <w:p>
              <w:pPr>
                <w:pStyle w:val="ListParagraph"/>
                <w:numPr>
                  <w:ilvl w:val="0"/>
                  <w:numId w:val="7"/>
                </w:numPr>
                <w:spacing w:after="160"/>
              </w:pPr>
              <w:r>
                <w:t xml:space="preserve">Ny presisering som beskriver styrers ansvar og handlingsrom ved ekstraordinære driftssituasjoner.</w:t>
              </w:r>
            </w:p>
            <w:p>
              <w:pPr>
                <w:pStyle w:val="ListParagraph"/>
                <w:numPr>
                  <w:ilvl w:val="0"/>
                  <w:numId w:val="7"/>
                </w:numPr>
                <w:spacing w:after="160"/>
              </w:pPr>
              <w:r>
                <w:t xml:space="preserve">Bidrar til tydeligere forventninger til vurderinger som gjøres ved fravær.</w:t>
              </w:r>
            </w:p>
            <w:p>
              <w:pPr>
                <w:pStyle w:val="ListParagraph"/>
                <w:numPr>
                  <w:ilvl w:val="0"/>
                  <w:numId w:val="7"/>
                </w:numPr>
                <w:spacing w:after="160"/>
              </w:pPr>
              <w:r>
                <w:t xml:space="preserve">Understreker at lovkrav og barns trygghet alltid skal ivaretas.</w:t>
              </w:r>
            </w:p>
            <w:p>
              <w:pPr>
                <w:spacing w:after="160"/>
              </w:pPr>
              <w:r>
                <w:t xml:space="preserve"> Internkontroll</w:t>
              </w:r>
            </w:p>
            <w:p>
              <w:pPr>
                <w:pStyle w:val="ListParagraph"/>
                <w:numPr>
                  <w:ilvl w:val="0"/>
                  <w:numId w:val="8"/>
                </w:numPr>
                <w:spacing w:after="160"/>
              </w:pPr>
              <w:r>
                <w:t xml:space="preserve">Egen bestemmelse om internkontroll erstatter tidligere HMS-formulering.</w:t>
              </w:r>
            </w:p>
            <w:p>
              <w:pPr>
                <w:pStyle w:val="ListParagraph"/>
                <w:numPr>
                  <w:ilvl w:val="0"/>
                  <w:numId w:val="8"/>
                </w:numPr>
                <w:spacing w:after="160"/>
              </w:pPr>
              <w:r>
                <w:t xml:space="preserve">Synliggjør krav til systematisk arbeid med kvalitet og etterlevelse.</w:t>
              </w:r>
            </w:p>
            <w:p>
              <w:pPr>
                <w:pStyle w:val="ListParagraph"/>
                <w:numPr>
                  <w:ilvl w:val="0"/>
                  <w:numId w:val="8"/>
                </w:numPr>
                <w:spacing w:after="160"/>
              </w:pPr>
              <w:r>
                <w:t xml:space="preserve">Klare roller og rutiner gir tryggere drift og enklere oppfølging.</w:t>
              </w:r>
            </w:p>
            <w:p>
              <w:pPr>
                <w:spacing w:after="160"/>
              </w:pPr>
              <w:r>
                <w:t xml:space="preserve">5.8 Ikrafttredelse</w:t>
              </w:r>
            </w:p>
            <w:p>
              <w:pPr>
                <w:pStyle w:val="ListParagraph"/>
                <w:numPr>
                  <w:ilvl w:val="0"/>
                  <w:numId w:val="9"/>
                </w:numPr>
                <w:spacing w:after="160"/>
              </w:pPr>
              <w:r>
                <w:t xml:space="preserve">Foreslått ikrafttredelse 01.08.2026.</w:t>
              </w:r>
            </w:p>
            <w:p>
              <w:pPr>
                <w:pStyle w:val="ListParagraph"/>
                <w:numPr>
                  <w:ilvl w:val="0"/>
                  <w:numId w:val="9"/>
                </w:numPr>
                <w:spacing w:after="160"/>
              </w:pPr>
              <w:r>
                <w:t xml:space="preserve">Gir tid til informasjon, lokale rutinejusteringer og en samlet overgang.</w:t>
              </w:r>
            </w:p>
            <w:p>
              <w:pPr>
                <w:spacing w:after="160"/>
              </w:pPr>
              <w:r>
                <w:t xml:space="preserve"> </w:t>
              </w:r>
            </w:p>
            <w:p>
              <w:pPr>
                <w:spacing w:after="160"/>
              </w:pPr>
              <w:r>
                <w:t xml:space="preserve"> </w:t>
              </w:r>
            </w:p>
            <w:p>
              <w:pPr>
                <w:spacing w:after="160"/>
              </w:pPr>
              <w:r>
                <w:t xml:space="preserve"> </w:t>
              </w:r>
            </w:p>
            <w:p>
              <w:pPr>
                <w:spacing w:after="160"/>
              </w:pPr>
              <w:r>
                <w:t xml:space="preserve">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Vedteker for kommunale barnehager, virkningsdato 01.08.2026</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67073d14aec440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Revidering av vedtekter for kommunale barnehager</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