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26/5704</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3</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David Henriksen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01.06.2026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Skagerak Energi AS - Innkalling til generalforsamling</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69/26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Innkalling til generalforsamling i Skagerak Energi AS 16.06.26 tas til orientering.</w:t>
              </w:r>
            </w:p>
            <w:p>
              <w:pPr>
                <w:pStyle w:val="ListParagraph"/>
                <w:numPr>
                  <w:ilvl w:val="0"/>
                  <w:numId w:val="1"/>
                </w:numPr>
                <w:spacing w:after="160"/>
              </w:pPr>
              <w:r>
                <w:t xml:space="preserve">Porsgrunn kommunes representanter i generalforsamlingen gis fullmakt til å stemme for forslag til vedtak i sak 1 til 7</w:t>
              </w:r>
            </w:p>
            <w:p>
              <w:pPr>
                <w:pStyle w:val="ListParagraph"/>
                <w:numPr>
                  <w:ilvl w:val="0"/>
                  <w:numId w:val="1"/>
                </w:numPr>
                <w:spacing w:after="160"/>
              </w:pPr>
              <w:r>
                <w:t xml:space="preserve">Porsgrunn kommunes representanter i generalforsamlingen gis fullmakt til å stemme imot forslag til vedtak i sak 8.</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Etter Porsgrunn kommunes eierskapsmelding, prinsipp 6, fremmer kommunen sine eierbeslutninger overfor selskapet gjennom generalforsamling og representantskap. Generalforsamlingen er dermed den formelle arenaen hvor kommunen som eier utøver sin myndighet overfor selskapet.</w:t>
              </w:r>
              <w:r>
                <w:br/>
              </w:r>
              <w:r>
                <w:t xml:space="preserve">Innkallingen legges fram for bystyret for å avklare Porsgrunn kommunes eierposisjon før generalforsamlingen. Dette skal sikre at kommunens representant kan opptre i tråd med bystyrets vurdering og vedtak i de sakene som skal behandles.</w:t>
              </w:r>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t xml:space="preserve">Generalforsamlingen avholdes 16.06.26, kl. 15.30 på Skagerak Energi AS hovedkontor, møterom Gunnar Knudsen.</w:t>
              </w:r>
            </w:p>
            <w:p>
              <w:pPr>
                <w:spacing w:after="160"/>
              </w:pPr>
              <w:r>
                <w:t xml:space="preserve">Skagerak Energi er et regionalt energikonsern med hovedkontor i Porsgrunn. Selskapet eies av Statkraft Industrial Holding AS (66,62 %), Skien kommune (15,21 %), Porsgrunn kommune (14,83 %) og Bamble kommune (3,34 %).</w:t>
              </w:r>
            </w:p>
            <w:p>
              <w:pPr>
                <w:spacing w:after="160"/>
              </w:pPr>
              <w:r>
                <w:t xml:space="preserve">Kjernevirksomheten er kraftproduksjon, distribusjon av strøm samt produksjon og distribusjon av fjernvarme. Utover kjernevirksomheten utvikler og investerer konsernet i energirelaterte varer og tjenester. Virksomhetene er organisert i heleide datterselskaper eiet av Skagerak Energi AS.</w:t>
              </w:r>
            </w:p>
            <w:p>
              <w:pPr>
                <w:spacing w:after="160"/>
              </w:pPr>
              <w:r>
                <w:t xml:space="preserve">Selskapets visjon er å være en framtidsrettet leverandør av ren energi for velferd, vekst og utvikling. Konsernets forretningsidé er å skape verdier for kunder, eiere og samfunn ved å produsere, transportere og selge energi, og ved å utvikle og levere energirelaterte produkter og tjenester. Kjerneverdiene kompetent, ansvarlig og nyskapende ligger til grunn for utvikling og drift i konsernet.</w:t>
              </w:r>
            </w:p>
            <w:p>
              <w:pPr>
                <w:spacing w:after="160"/>
              </w:pPr>
              <w:r>
                <w:t xml:space="preserve">I aksjeselskaper (AS) er generalforsamlingen selskapets øverste myndighet, jf. aksjeloven § 5-1. Det er i generalforsamlingens møter Porsgrunn bystyre utøver sitt eierskap. I aksjeselskaper representerer ordfører, eller den ordfører utpeker, Porsgrunn kommune i generalforsamlingen.</w:t>
              </w:r>
            </w:p>
            <w:p>
              <w:pPr>
                <w:spacing w:after="160"/>
              </w:pPr>
              <w:r>
                <w:t xml:space="preserve">Generalforsamlingen skal blant annet behandle årsregnskap, årsberetning og utbytte for 2025, valg av styre og fastsettelse av honorar til styret.</w:t>
              </w:r>
            </w:p>
            <w:p>
              <w:pPr>
                <w:spacing w:after="160"/>
              </w:pPr>
              <w:r>
                <w:rPr>
                  <w:b/>
                </w:rPr>
                <w:t xml:space="preserve">Sak 4 - Godkjenning av årsregnskap, årsberetning og utbytte for 2025</w:t>
              </w:r>
              <w:r>
                <w:br/>
              </w:r>
              <w:r>
                <w:t xml:space="preserve">Konsernets årsresultat var 1.860 mill. kroner. Det er foreslått et utbytte på 50 prosent av årsresultatet, tilsvarende 930 mill. kroner. Med Porsgrunn kommunes eierandel på 14,83 % utgjør dette 138 mill. kroner. Dette tilsvarer en utbytteavkastning på om lag 8 prosent beregnet opp mot bokført egenkapital i selskapet. </w:t>
              </w:r>
            </w:p>
            <w:p>
              <w:pPr>
                <w:spacing w:after="160"/>
              </w:pPr>
              <w:hyperlink w:history="true" r:id="R49071aa947fc44e0">
                <w:r>
                  <w:rPr>
                    <w:rStyle w:val="Hyperlink"/>
                  </w:rPr>
                  <w:t xml:space="preserve">Årsrapport - Skagerak Energi</w:t>
                </w:r>
              </w:hyperlink>
            </w:p>
            <w:p>
              <w:pPr>
                <w:spacing w:after="160"/>
              </w:pPr>
              <w:r>
                <w:br/>
              </w:r>
              <w:r>
                <w:rPr>
                  <w:b/>
                </w:rPr>
                <w:t xml:space="preserve">Sak 5 - Valg av styre</w:t>
              </w:r>
              <w:r>
                <w:br/>
              </w:r>
              <w:r>
                <w:t xml:space="preserve">Valg av nytt styremedlem fra Porsgrunn kommune legges frem som egen sak i Bystyret 11.06.2026</w:t>
              </w:r>
              <w:r>
                <w:br/>
              </w:r>
              <w:r>
                <w:t xml:space="preserve"> </w:t>
              </w:r>
            </w:p>
            <w:p>
              <w:pPr>
                <w:spacing w:after="160"/>
              </w:pPr>
              <w:r>
                <w:rPr>
                  <w:b/>
                </w:rPr>
                <w:t xml:space="preserve">Sak 6 - Fastsettelse av honorar til styret</w:t>
              </w:r>
              <w:r>
                <w:br/>
              </w:r>
              <w:r>
                <w:t xml:space="preserve">Styrets honorar er som følger:</w:t>
              </w:r>
            </w:p>
            <w:p>
              <w:pPr>
                <w:spacing w:after="160"/>
              </w:pPr>
              <w:r>
                <w:t xml:space="preserve">Styreleder: 185 000 kroner pr. år </w:t>
              </w:r>
              <w:r>
                <w:br/>
              </w:r>
              <w:r>
                <w:t xml:space="preserve">Styrets nestleder: 150 000 kroner pr. år </w:t>
              </w:r>
              <w:r>
                <w:br/>
              </w:r>
              <w:r>
                <w:t xml:space="preserve">Øvrige styremedlemmer: 105 000 kroner pr. år </w:t>
              </w:r>
              <w:r>
                <w:br/>
              </w:r>
              <w:r>
                <w:t xml:space="preserve">Varamedlemmer: 4200 kroner pr. møte</w:t>
              </w:r>
            </w:p>
            <w:p>
              <w:pPr>
                <w:spacing w:after="160"/>
              </w:pPr>
              <w:r>
                <w:t xml:space="preserve">Satsene på styrehonorarene justeres hvert annet år, og ble sist justert i 2024. Satsene vil bli foreslått justert opp på generalforsamlingen, men de er ikke klare på tidspunktet for innkallingen.</w:t>
              </w:r>
            </w:p>
            <w:p>
              <w:pPr>
                <w:spacing w:after="160"/>
              </w:pPr>
              <w:r>
                <w:t xml:space="preserve">Det betales ikke tapt arbeidsfortjeneste.</w:t>
              </w:r>
              <w:r>
                <w:br/>
              </w:r>
              <w:r>
                <w:t xml:space="preserve"> </w:t>
              </w:r>
            </w:p>
            <w:p>
              <w:pPr>
                <w:spacing w:after="160"/>
              </w:pPr>
              <w:r>
                <w:rPr>
                  <w:b/>
                </w:rPr>
                <w:t xml:space="preserve">Sak 8 - Krav til avkastning for inversteringer i Skagerak Energi AS</w:t>
              </w:r>
              <w:r>
                <w:br/>
              </w:r>
              <w:r>
                <w:t xml:space="preserve">Styret i Statkraft AS har vedtatt krav om at investeringer skal ha forventet avkastning på WACC*1,125 (WACC: Weighted average cost of capital). Kravet er gjennomgående og omfatter alle datterselskaper i Statkraftkonsernet.</w:t>
              </w:r>
            </w:p>
            <w:p>
              <w:pPr>
                <w:spacing w:after="160"/>
              </w:pPr>
              <w:r>
                <w:t xml:space="preserve">Statkraft AS ønsker på denne bakgrunn å få innført tilsvarende krav for Skagerak Energi AS. Saken har vært opp til behandling i styremøte i Skagerak Energi AS 07.05.26, der forslaget ikke fikk flertall i styret.</w:t>
              </w:r>
            </w:p>
            <w:p>
              <w:pPr>
                <w:spacing w:after="160"/>
              </w:pPr>
              <w:r>
                <w:t xml:space="preserve">Statkraft ber nå at saken forelegges til behandling i ordinært generalforsamling 16.06.26, jfr. Aksjeloven § 5-11.</w:t>
              </w:r>
            </w:p>
            <w:p>
              <w:pPr>
                <w:spacing w:after="160"/>
              </w:pPr>
              <w:r>
                <w:t xml:space="preserve">For forslag til vedtak, se saken i innkallingen.</w:t>
              </w:r>
            </w:p>
            <w:p>
              <w:pPr>
                <w:spacing w:after="160"/>
              </w:pPr>
              <w:r>
                <w:br/>
              </w:r>
              <w:r>
                <w:rPr>
                  <w:b/>
                </w:rPr>
                <w:t xml:space="preserve">Kommunedirektørens vurdering og konklusjon</w:t>
              </w:r>
              <w:r>
                <w:br/>
              </w:r>
              <w:r>
                <w:t xml:space="preserve">Kommunedirektøren innstiller på at Bystyret stemmer for forslagene til vedtak med unntak av sak 8 som forklares nærmere under.</w:t>
              </w:r>
            </w:p>
            <w:p>
              <w:pPr>
                <w:spacing w:after="160"/>
              </w:pPr>
              <w:r>
                <w:rPr>
                  <w:b/>
                  <w:i/>
                  <w:u w:val="single"/>
                </w:rPr>
                <w:t xml:space="preserve">Sak 8</w:t>
              </w:r>
            </w:p>
            <w:p>
              <w:pPr>
                <w:spacing w:after="160"/>
              </w:pPr>
              <w:r>
                <w:t xml:space="preserve">Statkraft vedtok i 2019 og 2021 nye avkastningskrav for sin egen virksomhet, der investeringer må ha en forventet avkastning utover WACC (WACC multiplisert med 0,125). Statkraft ønsker å innføre tilsvarende krav i Skagerak Energi AS, noe som medfører et økt avkastningskrav i tillegg til allerede vedtatt avkastningskrav.</w:t>
              </w:r>
            </w:p>
            <w:p>
              <w:pPr>
                <w:spacing w:after="160"/>
              </w:pPr>
              <w:r>
                <w:t xml:space="preserve">På styremøte 2. desember 2025 ble forslaget fremmet av Statkraft, men trukket da det møtte motstand fra styremedlemmer oppnevnt av eierkommunene og ansattvalgte. Saken ble deretter tatt opp til ny behandling på styremøte 7. mai, hvor det ble flertall mot forslaget. De kommuneoppnevnte og ansattevalgte representantene mente kravet var unødvendig fordi styret i Skagerak må ha beslutningmyndighet til å investere i alle prosjekter med forventet avkastning lik eller høyere enn WACC ut i fra en helhetsvurdering fattet av styret.</w:t>
              </w:r>
            </w:p>
            <w:p>
              <w:pPr>
                <w:spacing w:after="160"/>
              </w:pPr>
              <w:r>
                <w:t xml:space="preserve">Slik kommunedirektøren oppfatter det er dette forslaget et forsøk fra Statkraft som hovedaksjonær å tvinge igjennom sitt syn på investeringsstrategien via generalforsamlingen. I tråd med minoritetsaksjonærenes eierstrategi fra 2017 har eierutvalget hatt dialog med Statkraft om sitt syn på økt avkastningskrav og dens konsekvenser for fremtidige viktige investeringer for regionen og styringen av Skagerak.</w:t>
              </w:r>
            </w:p>
            <w:p>
              <w:pPr>
                <w:spacing w:after="160"/>
              </w:pPr>
              <w:r>
                <w:t xml:space="preserve">Kommunedirektøren er bekymret for at det gode samarbeidet som har vært mellom eierkommunene og Statkraft siden 2001, som vi eierkommunene anser å ha vært et gode for selskapet og regionen, nå settes under press. Det har derfor vært et forsøk fra eierkommunene å få Statkraft til å vurdere dette kravet på nytt før Generalforsamlingen, og eventuelt utsette innføringen av et slikt krav for å få en grundigere dialog om dette. Statkraft har respondert negativt på henvendelsen fra eierkommunene.</w:t>
              </w:r>
            </w:p>
            <w:p>
              <w:pPr>
                <w:spacing w:after="160"/>
              </w:pPr>
              <w:r>
                <w:t xml:space="preserve">Med bakgrunn i denne uenigheten har eierkommunene innhentet en vurdering fra Advokatfirmaet Selmer AS v/Håkon Sandbekk – se vedlegg.</w:t>
              </w:r>
            </w:p>
            <w:p>
              <w:pPr>
                <w:spacing w:after="160"/>
              </w:pPr>
              <w:r>
                <w:t xml:space="preserve">Vurderingene fra Selmer er at å fremme et slikt pålegg om et avkastningskrav via Generalforsamlingen vil være i strid med aksjeloven, NUES og aksjonæravtalens intensjoner om samarbeidet</w:t>
              </w:r>
            </w:p>
            <w:p>
              <w:pPr>
                <w:spacing w:after="160"/>
              </w:pPr>
              <w:r>
                <w:t xml:space="preserve">På bakgrunn av dette anbefaler Kommunedirektøren at Bystyret innstiller på å stemme imot Statkrafts forslag i sak 8.</w:t>
              </w:r>
            </w:p>
            <w:p>
              <w:pPr>
                <w:spacing w:after="160"/>
              </w:pPr>
              <w:r>
                <w:t xml:space="preserve">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p>
              <w:pPr>
                <w:spacing w:after="160"/>
              </w:pPr>
              <w:r>
                <w:rPr>
                  <w:b/>
                </w:rPr>
                <w:t xml:space="preserve">Kommunedirektørens vurdering og konklusjon </w:t>
              </w:r>
              <w:r>
                <w:br/>
              </w:r>
              <w:r>
                <w:t xml:space="preserve">Saken legges fram bystyret til behandling. Porsgrunn kommune utøver sitt eierskap i aksjeselskaper gjennom behandling av møteinnkallinger til generalforsamlinger i bystyret (ev.) formannskapet. Porsgrunn kommunes representanter i generalforsamlingen gis fullmakt til å stemme for forslag til vedtak i sak 1 til 7. Porsgrunn kommunes representanter i generalforsamlingen gis fullmakt til å stemme imot forslag til vedtak i sak 8</w:t>
              </w:r>
            </w:p>
            <w:p>
              <w:pPr>
                <w:spacing w:after="160"/>
              </w:pPr>
              <w:r>
                <w:br/>
              </w:r>
              <w:r>
                <w:rPr>
                  <w:b/>
                </w:rPr>
                <w:t xml:space="preserve">Referanser </w:t>
              </w:r>
              <w:r>
                <w:br/>
              </w:r>
              <w:r>
                <w:t xml:space="preserve">Lov om kommuner og fylkeskommuner </w:t>
              </w:r>
              <w:r>
                <w:br/>
              </w:r>
              <w:r>
                <w:t xml:space="preserve">Lov om behandlingsmåten i forvaltningssaker (forvaltningsloven) </w:t>
              </w:r>
              <w:r>
                <w:br/>
              </w:r>
              <w:r>
                <w:t xml:space="preserve">Lov om aksjeselskaper </w:t>
              </w:r>
              <w:r>
                <w:br/>
              </w:r>
              <w:hyperlink w:history="true" r:id="Rfc46f5edd2424677">
                <w:r>
                  <w:rPr>
                    <w:rStyle w:val="Hyperlink"/>
                  </w:rPr>
                  <w:t xml:space="preserve">Eierskapsmelding - Porsgrunn kommune</w:t>
                </w:r>
              </w:hyperlink>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05e6f4842f2b4b46" /><Relationship Type="http://schemas.openxmlformats.org/officeDocument/2006/relationships/hyperlink" Target="https://www.skagerakenergi.no/finansielt/arsrapport/" TargetMode="External" Id="R49071aa947fc44e0" /><Relationship Type="http://schemas.openxmlformats.org/officeDocument/2006/relationships/hyperlink" Target="https://www.porsgrunn.kommune.no/lokalpolitikk/eierskapsmelding/" TargetMode="External" Id="Rfc46f5edd24246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Skagerak Energi AS - Innkalling til generalforsamling</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