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26/5735</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Morten Ødegaard</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11.05.2026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Fritidstilbud Heistad – Utredning (B1)</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Flerkulturelt kontaktutvalg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74/26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11.06.2026</w:t>
                        </w:r>
                      </w:sdtContent>
                    </w:sdt>
                  </w:p>
                </w:tc>
              </w:tr>
            </w:tbl>
            <w:p w:rsidRPr="00853B6B" w:rsidR="002E12DF" w:rsidP="003E7097" w:rsidRDefault="00000000" w14:paraId="15136346" w14:textId="77777777"/>
          </w:sdtContent>
        </w:sdt>
        <w:sdt>
          <w:sdtPr>
            <w:alias w:val="VedtakSomInnstillinger"/>
            <w:tag w:val="VedtakSomInnstillinger"/>
            <w:id w:val="-1781246761"/>
          </w:sdtPr>
          <w:sdtContent>
            <w:p w:rsidR="00983B8F" w:rsidP="003E7097" w:rsidRDefault="00983B8F" w14:paraId="31C021FF" w14:textId="77777777"/>
            <w:p w:rsidRPr="00853B6B" w:rsidR="00973558" w:rsidP="003E7097" w:rsidRDefault="00000000" w14:paraId="2EFE0DFE" w14:textId="1D76BAEA">
              <w:sdt>
                <w:sdtPr>
                  <w:rPr>
                    <w:b/>
                    <w:bCs/>
                  </w:rPr>
                  <w:alias w:val="VedtaksMøte.GruppeTittel"/>
                  <w:tag w:val="VedtaksMøte.GruppeTittel"/>
                  <w:id w:val="1687861511"/>
                </w:sdtPr>
                <w:sdtContent>
                  <w:r w:rsidR="00FE765E">
                    <w:rPr>
                      <w:b/>
                      <w:bCs/>
                    </w:rPr>
                    <w:t xml:space="preserve">Utvalg for barn, unge og kultur</w:t>
                  </w:r>
                </w:sdtContent>
              </w:sdt>
              <w:r w:rsidR="00526E7D">
                <w:rPr>
                  <w:b/>
                  <w:bCs/>
                </w:rPr>
                <w:t xml:space="preserve"> </w:t>
              </w:r>
              <w:r w:rsidR="007053D6">
                <w:rPr>
                  <w:b/>
                  <w:bCs/>
                </w:rPr>
                <w:t>sin i</w:t>
              </w:r>
              <w:r w:rsidRPr="00853B6B" w:rsidR="007053D6">
                <w:rPr>
                  <w:b/>
                  <w:bCs/>
                </w:rPr>
                <w:t xml:space="preserve">nnstilling </w:t>
              </w:r>
              <w:r w:rsidR="007053D6">
                <w:rPr>
                  <w:b/>
                  <w:bCs/>
                </w:rPr>
                <w:t>i saken</w:t>
              </w:r>
              <w:r w:rsidRPr="00853B6B" w:rsidR="008D2DF4">
                <w:rPr>
                  <w:b/>
                  <w:bCs/>
                </w:rPr>
                <w:t>,</w:t>
              </w:r>
              <w:r w:rsidRPr="00853B6B" w:rsidR="006E6A9D">
                <w:rPr>
                  <w:b/>
                  <w:bCs/>
                </w:rPr>
                <w:t xml:space="preserve"> </w:t>
              </w:r>
              <w:sdt>
                <w:sdtPr>
                  <w:rPr>
                    <w:b/>
                    <w:bCs/>
                  </w:rPr>
                  <w:alias w:val="VedtaksMøte.Start.KortDato"/>
                  <w:tag w:val="VedtaksMøte.Start.KortDato"/>
                  <w:id w:val="-1067267828"/>
                </w:sdtPr>
                <w:sdtContent>
                  <w:r w:rsidRPr="00853B6B" w:rsidR="00B92A0B">
                    <w:rPr>
                      <w:b/>
                      <w:bCs/>
                    </w:rPr>
                    <w:t xml:space="preserve">27.05.2026</w:t>
                  </w:r>
                </w:sdtContent>
              </w:sdt>
              <w:r w:rsidRPr="00853B6B" w:rsidR="006E6A9D">
                <w:rPr>
                  <w:b/>
                  <w:bCs/>
                </w:rPr>
                <w:t xml:space="preserve"> - </w:t>
              </w:r>
              <w:sdt>
                <w:sdtPr>
                  <w:rPr>
                    <w:b/>
                    <w:bCs/>
                  </w:rPr>
                  <w:alias w:val="Vedtak.OpprettetIGjennomføring.Nummer"/>
                  <w:tag w:val="Vedtak.OpprettetIGjennomføring.Nummer"/>
                  <w:id w:val="2090502998"/>
                </w:sdtPr>
                <w:sdtContent>
                  <w:r w:rsidRPr="00853B6B" w:rsidR="00B92A0B">
                    <w:rPr>
                      <w:b/>
                      <w:bCs/>
                    </w:rPr>
                    <w:t xml:space="preserve">31/26</w:t>
                  </w:r>
                </w:sdtContent>
              </w:sdt>
            </w:p>
            <w:sdt>
              <w:sdtPr>
                <w:alias w:val="Vedtak.Tekst"/>
                <w:tag w:val="Vedtak.Tekst"/>
                <w:id w:val="678242292"/>
              </w:sdtPr>
              <w:sdtContent>
                <w:p>
                  <w:r>
                    <w:t xml:space="preserve">Det etableres ungdomsklubb i eksisterende svømmehall. I tillegg tilrettelegges det for møteplass for eldre i møterom og treningsrom i Heistadhallen. (Alternativ 4). De nye lokalene i svømmehallen tilpasses slik at de egner seg for annen aktivitet som beskrevet i alternativ 2.</w:t>
                  </w:r>
                  <w:r>
                    <w:br/>
                  </w:r>
                  <w:r>
                    <w:t xml:space="preserve">Kommunen sørger for at Heistad Trialklubb får en plass til å lagre sitt utstyr.</w:t>
                  </w:r>
                  <w:r>
                    <w:br/>
                  </w:r>
                  <w:r>
                    <w:t xml:space="preserve">Kommunedirektøren innarbeider økte investeringskostnader i handlingsplanen for 2027-2030.</w:t>
                  </w:r>
                </w:p>
                <w:p>
                  <w:r>
                    <w:t xml:space="preserve">Kommunedirektøren bes vurdere om ungdomsklubb/fritidsklubb på Heistad kan organiseres og finansieres etter modell for frivilligsentral, herunder med statlig tilskudd, kommunal egenandel og lokal frivillig/ideell forankring. Vurderingen av organisering legges fram for BUK før endelig beslutning.</w:t>
                  </w:r>
                </w:p>
                <w:p>
                  <w:r>
                    <w:t xml:space="preserve"> </w:t>
                  </w:r>
                </w:p>
              </w:sdtContent>
            </w:sdt>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Saken godkjennes for videre planlegging og gjennomføring av alternativ 1, men tilrettelagt slik at arealene også kan benyttes av eldre, lag og foreninger. Leieforholdet i Lundedalen fritidssenter opprettholdes så lenge Heistad Trialklubb er aktive. Tilsvarende opprettholdes tilbudet til eldre i Trollhaugvegen.</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Flerkulturelt kontaktutvalg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21.05.2026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Flerkulturelt kontaktutvalg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15/26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Råd for personer med funksjonsnedsettelse</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21.05.2026</w:t>
                  </w:r>
                </w:sdtContent>
              </w:sdt>
            </w:p>
            <w:p w:rsidRPr="00853B6B" w:rsidR="00D635FE" w:rsidP="00D635FE" w:rsidRDefault="00D635FE" w14:paraId="41B83B53" w14:textId="77777777"/>
            <w:sdt>
              <w:sdtPr>
                <w:alias w:val="BehandlingsTekst"/>
                <w:tag w:val="BehandlingsTekst"/>
                <w:id w:val="463629446"/>
              </w:sdtPr>
              <w:sdtContent>
                <w:p>
                  <w:r>
                    <w:t xml:space="preserve">Kommentar fra Rådet for personer med funksjonsnedsettelse:</w:t>
                  </w:r>
                  <w:r>
                    <w:br/>
                  </w:r>
                  <w:r>
                    <w:t xml:space="preserve">Det bes om at administrasjonen utreder et mellomalternativ for fritidstilbud på Heistad innenfor dagens investeringsramme, med fokus på tidlig innsats, forebygging av utenforskap, universell utforming og inkludering av personer med funksjonsnedsettelser i tråd med CRPD.</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Råd for personer med funksjonsnedsettelse</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26/26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Fornying og relokalisering av fritidstilbudet til ungdom på Heistad har vært på dagsordenen ved en rekke anledninger, og sist i orienteringssak 20/23 i utvalg for barn, unge og kultur skulle det vurderes å sette av midler til etablering av nytt møtepunkt «Ung Fritid Heistad».</w:t>
              </w:r>
            </w:p>
            <w:p>
              <w:pPr>
                <w:spacing w:after="160"/>
              </w:pPr>
              <w:r>
                <w:t xml:space="preserve">Dette har av ulike grunner ikke vært prioritert før nå ved behandling av gjeldende handlingsprogram der det er bevilget investeringsmidler til fritidsklubb på Heistad. I forlengelsen av dette har også eldrerådet bedt om at kommunedirektøren utreder etablering av «én dør inn»-modell ved Heistadhallen som felles aktivitetsarena for unge og eldre.</w:t>
              </w:r>
            </w:p>
            <w:p>
              <w:pPr>
                <w:spacing w:after="160"/>
              </w:pPr>
              <w:r>
                <w:t xml:space="preserve">I og med at alle innspill så langt har pekt på Heistadhallen, med nærhet til skoler, idrettsanlegg og Hei, som et naturlig sted for vurdering av et nytt tilbud, så har vi hatt dette som utgangspunkt for denne utredningen.</w:t>
              </w:r>
            </w:p>
          </w:sdtContent>
        </w:sdt>
        <w:sdt>
          <w:sdtPr>
            <w:alias w:val="SaksTekst"/>
            <w:tag w:val="SaksTekst"/>
            <w:id w:val="-1309477531"/>
          </w:sdtPr>
          <w:sdtContent>
            <w:p>
              <w:pPr>
                <w:spacing w:after="160"/>
              </w:pPr>
              <w:r>
                <w:rPr>
                  <w:b/>
                </w:rPr>
                <w:t xml:space="preserve">Saksfremstilling</w:t>
              </w:r>
            </w:p>
            <w:p>
              <w:pPr>
                <w:spacing w:after="160"/>
              </w:pPr>
              <w:r>
                <w:rPr>
                  <w:b/>
                </w:rPr>
                <w:t xml:space="preserve">Dagens tilbud for unge og eldre</w:t>
              </w:r>
            </w:p>
            <w:p>
              <w:pPr>
                <w:spacing w:after="160"/>
              </w:pPr>
              <w:r>
                <w:t xml:space="preserve">Lundedalen fritidssenter har vært et tilbud til ungdom på Heistad i en årrekke. Tilbudet er lokalisert i et leid bygg inne på Lundedalen Industriområde, der fritidssenteret og Heistad Trialklubb disponerer ca. 400 m</w:t>
              </w:r>
              <w:r>
                <w:rPr>
                  <w:vertAlign w:val="superscript"/>
                </w:rPr>
                <w:t xml:space="preserve">2</w:t>
              </w:r>
              <w:r>
                <w:t xml:space="preserve">. Leieavtalen er løpende og har 6 måneder oppsigelsestid. I forbindelse med ferdigstilling av ny E18 i løpet av inneværende år vil adkomsten til Lundedalen snus, slik at ny adkomst blir fra nåværende E18. Det innebærer også etablering av en bom i Lundedalen, anslagsvis 500 meter fra fritidssenteret, som hindrer innkjøring med bil fra den kanten. For brukerne av fritidssenteret betyr det at mulighet for gange og sykkel opprettholdes, men kjøring til tilbudet vil for de fleste bli noe lenger. De som driver tilbudet opplever at dagens beliggenhet gjør det stadig vanskeligere å rekruttere nye brukere, da flere og flere unge heller ønsker å oppholde seg i området ved skolene og idrettshallen på ettermiddag, kveld og helger.</w:t>
              </w:r>
            </w:p>
            <w:p>
              <w:pPr>
                <w:spacing w:after="160"/>
              </w:pPr>
              <w:r>
                <w:t xml:space="preserve">Heistad og omegn pensjonistforening disponerer det tidligere bedehuset i Trollhaugvegen på Heistad. Her foreligger det en avtale om vederlagsfri leie mot at kommunen dekker løpende utgifter til drift og vedlikehold. Bygget er på ca. 250 m2, har en litt bortgjemt beliggenhet, og begrensede parkeringsmuligheter. </w:t>
              </w:r>
            </w:p>
            <w:p>
              <w:pPr>
                <w:spacing w:after="160"/>
              </w:pPr>
              <w:r>
                <w:rPr>
                  <w:b/>
                </w:rPr>
                <w:t xml:space="preserve">Alternativer</w:t>
              </w:r>
            </w:p>
            <w:p>
              <w:pPr>
                <w:spacing w:after="160"/>
              </w:pPr>
              <w:r>
                <w:t xml:space="preserve">I en utredning/ alternativanalyse skal alltid 0-alternativet, i tillegg til ett eller flere realistiske og gjennomførbare alternativer som svarer opp bestillingen, tas opp til vurdering. I denne saken har det fremkommet følgende alternativer:</w:t>
              </w:r>
            </w:p>
            <w:p>
              <w:pPr>
                <w:pStyle w:val="ListParagraph"/>
                <w:numPr>
                  <w:ilvl w:val="0"/>
                  <w:numId w:val="1"/>
                </w:numPr>
                <w:spacing w:after="160"/>
              </w:pPr>
              <w:r>
                <w:t xml:space="preserve">0-alternativet – Opprettholde dagens tilbud i leide lokaler i Lundedalen og Trollhaugvegen</w:t>
              </w:r>
            </w:p>
            <w:p>
              <w:pPr>
                <w:pStyle w:val="ListParagraph"/>
                <w:numPr>
                  <w:ilvl w:val="0"/>
                  <w:numId w:val="1"/>
                </w:numPr>
                <w:spacing w:after="160"/>
              </w:pPr>
              <w:r>
                <w:t xml:space="preserve">Alternativ 1 – Pusse opp lokaler i dagens møterom og treningsrom som HEI disponerer i Heistadhallen til nytt tilbud for ungdom.</w:t>
              </w:r>
            </w:p>
            <w:p>
              <w:pPr>
                <w:pStyle w:val="ListParagraph"/>
                <w:numPr>
                  <w:ilvl w:val="0"/>
                  <w:numId w:val="1"/>
                </w:numPr>
                <w:spacing w:after="160"/>
              </w:pPr>
              <w:r>
                <w:t xml:space="preserve">Alternativ 2 – Bygge om eksisterende svømmehall i Heistadhallen til ungdomsklubb.</w:t>
              </w:r>
            </w:p>
            <w:p>
              <w:pPr>
                <w:pStyle w:val="ListParagraph"/>
                <w:numPr>
                  <w:ilvl w:val="0"/>
                  <w:numId w:val="1"/>
                </w:numPr>
                <w:spacing w:after="160"/>
              </w:pPr>
              <w:r>
                <w:t xml:space="preserve">Alternativ 3 – Opprettholde dagens tilbud til ungdom i Lundedalen + tilrettelegge for møteplass for eldre i møterom og treningsrom i Heistadhallen</w:t>
              </w:r>
            </w:p>
            <w:p>
              <w:pPr>
                <w:pStyle w:val="ListParagraph"/>
                <w:numPr>
                  <w:ilvl w:val="0"/>
                  <w:numId w:val="1"/>
                </w:numPr>
                <w:spacing w:after="160"/>
              </w:pPr>
              <w:r>
                <w:t xml:space="preserve">Alternativ 4 – Etablere ny ungdomsklubb i eks. svømmehall + tilrettelegge for møteplass for eldre i møterom og treningsrom i Heistadhallen</w:t>
              </w:r>
            </w:p>
            <w:p>
              <w:pPr>
                <w:spacing w:after="160"/>
              </w:pPr>
              <w:r>
                <w:t xml:space="preserve"> Denne utredningen er gjennomført med en begrenset grad av medvirkning fra interessenter, men mulighetsstudien knyttet til alternativ 2 har vært forelagt ungdommen, skolene/ FAU, HEI, eldrerådet, pensjonistforeningen, arbeiderlaget og fellesforumet for Heistad og Brattås. Uttalelsene herfra ligger som vedlegg til saken. </w:t>
              </w:r>
            </w:p>
            <w:p>
              <w:pPr>
                <w:spacing w:after="160"/>
              </w:pPr>
              <w:r>
                <w:rPr>
                  <w:b/>
                </w:rPr>
                <w:t xml:space="preserve">Alternativanalyse</w:t>
              </w:r>
            </w:p>
            <w:p>
              <w:pPr>
                <w:spacing w:after="160"/>
              </w:pPr>
              <w:r>
                <w:rPr>
                  <w:b/>
                </w:rPr>
                <w:t xml:space="preserve">0-alternativet</w:t>
              </w:r>
            </w:p>
            <w:p>
              <w:pPr>
                <w:spacing w:after="160"/>
              </w:pPr>
              <w:r>
                <w:t xml:space="preserve">Dette alternativet innebærer å ikke gjøre noen endringer, slik at tilbudet til både unge og eldre opprettholdes slik det er i dag. Dermed vil det heller ikke medføre investeringskostnader eller økte kostnader til drift.</w:t>
              </w:r>
            </w:p>
            <w:p>
              <w:pPr>
                <w:spacing w:after="160"/>
              </w:pPr>
              <w:r>
                <w:t xml:space="preserve">Å ikke gjøre noe svarer imidlertid ikke opp ønskene fra hverken unge eller eldre om et oppdatert tilbud med felles møtepunkter sentralt plassert i bydelen. Rekrutteringen til fritidstilbudet for unge antas å bli ytterligere svekket, og sett i lys av en stadig økende andel eldre i befolkningen så vil det gamle bedehuset ha betydelig kapasitetsutfordring.</w:t>
              </w:r>
            </w:p>
            <w:p>
              <w:pPr>
                <w:spacing w:after="160"/>
              </w:pPr>
              <w:r>
                <w:rPr>
                  <w:b/>
                </w:rPr>
                <w:t xml:space="preserve">Alternativ 1</w:t>
              </w:r>
            </w:p>
            <w:p>
              <w:pPr>
                <w:spacing w:after="160"/>
              </w:pPr>
              <w:r>
                <w:t xml:space="preserve">Det er arealer i Heistadhallen, også kalt «samfunnsdelen», som i liten grad er i bruk. Håndballgruppa til idrettslaget HEI disponerer ca. 200 m</w:t>
              </w:r>
              <w:r>
                <w:rPr>
                  <w:vertAlign w:val="superscript"/>
                </w:rPr>
                <w:t xml:space="preserve">2</w:t>
              </w:r>
              <w:r>
                <w:t xml:space="preserve"> til møterom, lager og treningsrom, i tillegg til kioskfasiliteter i foaje. Hei har muligheter til å flytte sin aktivitet over i eget klubbhus, og stiller seg positive til å terminere avtalen til fordel for å etablere et fritidstilbud her. Dette alternativet kan gjennomføres med relativt enkle tiltak, i hovedsak generell oppussing/ oppfriskning, og er grovt anslått til å koste 0,5 – 1,0 MNOK.</w:t>
              </w:r>
            </w:p>
            <w:p>
              <w:pPr>
                <w:spacing w:after="160"/>
              </w:pPr>
              <w:r>
                <w:t xml:space="preserve">Alternativet svarer opp en mer sentral plassering av ungdomstilbudet, men gir samtidig en halvering av tilgjengelig areal til aktiviteter. Det er mulig å tenke sambruk med eldre, men også for dem vil arealene framstå som mindre tilrettelagte med tanke på kjøkkenmuligheter og størrelse.</w:t>
              </w:r>
            </w:p>
            <w:p>
              <w:pPr>
                <w:spacing w:after="160"/>
              </w:pPr>
              <w:r>
                <w:rPr>
                  <w:b/>
                </w:rPr>
                <w:t xml:space="preserve">Alternativ 2</w:t>
              </w:r>
            </w:p>
            <w:p>
              <w:pPr>
                <w:spacing w:after="160"/>
              </w:pPr>
              <w:r>
                <w:t xml:space="preserve">Vi har fått utarbeidet en mulighetsstudie for ombygging av den nedlagte svømmehallen i Heistadhallen til ny ungdomsklubb på ca. 600 m</w:t>
              </w:r>
              <w:r>
                <w:rPr>
                  <w:vertAlign w:val="superscript"/>
                </w:rPr>
                <w:t xml:space="preserve">2</w:t>
              </w:r>
              <w:r>
                <w:t xml:space="preserve">. Mulighetsstudien har primært svart ut ønsker og forventninger knyttet til ungdomstilbudet. En teknisk vurdering av bygningens bærende konstruksjoner har verifisert at gjenbruk vil være gjennomførbart uten behov for større inngripende tiltak. Ombygging av svømmehallen, med noen tilliggende arealer, er kostnadsberegnet til 28 MNOK. Her er også medtatt en kraftig forbedring av byggets energieffektivitet i tråd med gjeldende krav.</w:t>
              </w:r>
            </w:p>
            <w:p>
              <w:pPr>
                <w:spacing w:after="160"/>
              </w:pPr>
              <w:r>
                <w:t xml:space="preserve">Dette alternativet vil innebære et betydelig oppdatert og utvidet tilbud for ungdommen, med en plassering det er grunn til å tro at vil bidra til økt rekruttering. En del rom er spesialisert for ungdommen, men den delen av arealet som omfatter kafe, kjøkken, aktivitetsrom mv., ca. 200 m</w:t>
              </w:r>
              <w:r>
                <w:rPr>
                  <w:vertAlign w:val="superscript"/>
                </w:rPr>
                <w:t xml:space="preserve">2</w:t>
              </w:r>
              <w:r>
                <w:t xml:space="preserve">, vil også kunne benyttes av eldre, lag og foreninger. Man kan også se for seg at lokalene også kan benyttes som en utvidet læringsarena for både barne- og ungdomsskolen.</w:t>
              </w:r>
            </w:p>
            <w:p>
              <w:pPr>
                <w:spacing w:after="160"/>
              </w:pPr>
              <w:r>
                <w:rPr>
                  <w:b/>
                </w:rPr>
                <w:t xml:space="preserve">Alternativ 3</w:t>
              </w:r>
            </w:p>
            <w:p>
              <w:pPr>
                <w:spacing w:after="160"/>
              </w:pPr>
              <w:r>
                <w:t xml:space="preserve">Alternativet er i praksis en kombinasjon av 0-alternativet og alternativ 1, med den forskjellen at det tilrettelegges spesifikt for eldre, lag og foreninger i Heistadhallen, og ikke for ungdom. Dette vil antagelig kreve at det etableres kjøkkenmuligheter, slik at antatt kost øker noe, 1.0 – 1,5 MNOK. Tiltaket vil kunne være et supplement til, eller en erstatning for det tidligere bedehuset.</w:t>
              </w:r>
            </w:p>
            <w:p>
              <w:pPr>
                <w:spacing w:after="160"/>
              </w:pPr>
              <w:r>
                <w:t xml:space="preserve">For ungdommen gir ikke dette noen endring, eller forbedring.</w:t>
              </w:r>
            </w:p>
            <w:p>
              <w:pPr>
                <w:spacing w:after="160"/>
              </w:pPr>
              <w:r>
                <w:rPr>
                  <w:b/>
                </w:rPr>
                <w:t xml:space="preserve">Alternativ 4</w:t>
              </w:r>
            </w:p>
            <w:p>
              <w:pPr>
                <w:spacing w:after="160"/>
              </w:pPr>
              <w:r>
                <w:t xml:space="preserve">Også dette er en kombinasjon, denne gangen av alternativ 1 og alternativ 2. Alternativet legger til rette for en mer eksklusiv og spesialisert bruk av arealer for henholdsvis ungdom og eldre, men samtidig lokalisert på samme sted. Antatt kost vil være 29 – 29,5 MNOK.</w:t>
              </w:r>
            </w:p>
            <w:p>
              <w:pPr>
                <w:spacing w:after="160"/>
              </w:pPr>
              <w:r>
                <w:rPr>
                  <w:b/>
                </w:rPr>
                <w:t xml:space="preserve">Økonomi</w:t>
              </w:r>
            </w:p>
            <w:p>
              <w:pPr>
                <w:spacing w:after="160"/>
              </w:pPr>
              <w:r>
                <w:t xml:space="preserve">Investeringsramme avsatt til Fritidsklubb Heistad i HP 2026 – 2029 er 10 MNOK. Det er således bare alternativ 1 og alternativ 3 som kan realiseres uten en økt bevilgning. Alternativ 1 kan også være av en slik karakter at det ikke faller inn under investering, men snarere drift. Investering knyttet til alternativ 2, 3 og 4 vil innebære krav på MVA-kompensasjon.</w:t>
              </w:r>
            </w:p>
            <w:p>
              <w:pPr>
                <w:spacing w:after="160"/>
              </w:pPr>
              <w:r>
                <w:t xml:space="preserve">Årlige driftskostnader (husleie/ renter og avdrag) knyttet til de ulike alternativene framgår av tabellen under:</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gridCol/>
                <w:gridCol/>
                <w:gridCol/>
              </w:tblGrid>
              <w:tr>
                <w:trPr>
                  <w:tblCellSpacing w:w="0" w:type="dxa"/>
                </w:trPr>
                <w:tc>
                  <w:tcPr>
                    <w:tcMar>
                      <w:left w:w="108" w:type="dxa"/>
                      <w:right w:w="108" w:type="dxa"/>
                    </w:tcMar>
                    <w:vAlign w:val="top"/>
                  </w:tcPr>
                  <w:p>
                    <w:pPr>
                      <w:jc w:val="center"/>
                      <w:spacing w:after="160"/>
                    </w:pPr>
                    <w:r>
                      <w:t xml:space="preserve">Alternativ</w:t>
                    </w:r>
                  </w:p>
                </w:tc>
                <w:tc>
                  <w:tcPr>
                    <w:tcW w:w="1400" w:type="auto"/>
                    <w:tcBorders>
                      <w:top w:val="single" w:color="000000" w:sz="0"/>
                      <w:left w:val="none" w:color="000000" w:sz="0"/>
                      <w:bottom w:val="single" w:color="000000" w:sz="0"/>
                      <w:right w:val="single" w:color="000000" w:sz="0"/>
                    </w:tcBorders>
                    <w:tcMar>
                      <w:left w:w="108" w:type="dxa"/>
                      <w:right w:w="108" w:type="dxa"/>
                    </w:tcMar>
                    <w:vAlign w:val="top"/>
                  </w:tcPr>
                  <w:p>
                    <w:pPr>
                      <w:jc w:val="center"/>
                      <w:spacing w:after="160"/>
                    </w:pPr>
                    <w:r>
                      <w:t xml:space="preserve">Investering</w:t>
                    </w:r>
                  </w:p>
                </w:tc>
                <w:tc>
                  <w:tcPr>
                    <w:tcW w:w="1400" w:type="auto"/>
                    <w:tcBorders>
                      <w:top w:val="single" w:color="000000" w:sz="0"/>
                      <w:left w:val="none" w:color="000000" w:sz="0"/>
                      <w:bottom w:val="single" w:color="000000" w:sz="0"/>
                      <w:right w:val="single" w:color="000000" w:sz="0"/>
                    </w:tcBorders>
                    <w:tcMar>
                      <w:left w:w="108" w:type="dxa"/>
                      <w:right w:w="108" w:type="dxa"/>
                    </w:tcMar>
                    <w:vAlign w:val="top"/>
                  </w:tcPr>
                  <w:p>
                    <w:pPr>
                      <w:jc w:val="center"/>
                      <w:spacing w:after="160"/>
                    </w:pPr>
                    <w:r>
                      <w:t xml:space="preserve">MVA-komp</w:t>
                    </w:r>
                  </w:p>
                </w:tc>
                <w:tc>
                  <w:tcPr>
                    <w:tcBorders>
                      <w:top w:val="single" w:color="000000" w:sz="0"/>
                      <w:left w:val="none" w:color="000000" w:sz="0"/>
                      <w:bottom w:val="single" w:color="000000" w:sz="0"/>
                      <w:right w:val="single" w:color="000000" w:sz="0"/>
                    </w:tcBorders>
                    <w:tcMar>
                      <w:left w:w="108" w:type="dxa"/>
                      <w:right w:w="108" w:type="dxa"/>
                    </w:tcMar>
                    <w:vAlign w:val="top"/>
                  </w:tcPr>
                  <w:p>
                    <w:pPr>
                      <w:jc w:val="center"/>
                      <w:spacing w:after="160"/>
                    </w:pPr>
                    <w:r>
                      <w:t xml:space="preserve">Låneopptak</w:t>
                    </w:r>
                  </w:p>
                </w:tc>
                <w:tc>
                  <w:tcPr>
                    <w:tcW w:w="1940" w:type="auto"/>
                    <w:tcBorders>
                      <w:top w:val="single" w:color="000000" w:sz="0"/>
                      <w:left w:val="none" w:color="000000" w:sz="0"/>
                      <w:bottom w:val="single" w:color="000000" w:sz="0"/>
                      <w:right w:val="single" w:color="000000" w:sz="0"/>
                    </w:tcBorders>
                    <w:tcMar>
                      <w:left w:w="108" w:type="dxa"/>
                      <w:right w:w="108" w:type="dxa"/>
                    </w:tcMar>
                    <w:vAlign w:val="top"/>
                  </w:tcPr>
                  <w:p>
                    <w:pPr>
                      <w:jc w:val="center"/>
                      <w:spacing w:after="160"/>
                    </w:pPr>
                    <w:r>
                      <w:t xml:space="preserve">Årskostnad</w:t>
                    </w:r>
                  </w:p>
                </w:tc>
              </w:tr>
              <w:tr>
                <w:trPr>
                  <w:tblCellSpacing w:w="0" w:type="dxa"/>
                </w:trPr>
                <w:tc>
                  <w:tcPr>
                    <w:tcBorders>
                      <w:top w:val="none" w:color="000000" w:sz="0"/>
                      <w:left w:val="single" w:color="000000" w:sz="0"/>
                      <w:bottom w:val="single" w:color="000000" w:sz="0"/>
                      <w:right w:val="single" w:color="000000" w:sz="0"/>
                    </w:tcBorders>
                    <w:tcMar>
                      <w:left w:w="108" w:type="dxa"/>
                      <w:right w:w="108" w:type="dxa"/>
                    </w:tcMar>
                    <w:vAlign w:val="top"/>
                  </w:tcPr>
                  <w:p>
                    <w:pPr>
                      <w:jc w:val="center"/>
                      <w:spacing w:after="160"/>
                    </w:pPr>
                    <w:r>
                      <w:t xml:space="preserve">0</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0</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0</w:t>
                    </w:r>
                  </w:p>
                </w:tc>
                <w:tc>
                  <w:tcPr>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0</w:t>
                    </w:r>
                  </w:p>
                </w:tc>
                <w:tc>
                  <w:tcPr>
                    <w:tcW w:w="194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125 000*)</w:t>
                    </w:r>
                  </w:p>
                </w:tc>
              </w:tr>
              <w:tr>
                <w:trPr>
                  <w:tblCellSpacing w:w="0" w:type="dxa"/>
                </w:trPr>
                <w:tc>
                  <w:tcPr>
                    <w:tcBorders>
                      <w:top w:val="none" w:color="000000" w:sz="0"/>
                      <w:left w:val="single" w:color="000000" w:sz="0"/>
                      <w:bottom w:val="single" w:color="000000" w:sz="0"/>
                      <w:right w:val="single" w:color="000000" w:sz="0"/>
                    </w:tcBorders>
                    <w:tcMar>
                      <w:left w:w="108" w:type="dxa"/>
                      <w:right w:w="108" w:type="dxa"/>
                    </w:tcMar>
                    <w:vAlign w:val="top"/>
                  </w:tcPr>
                  <w:p>
                    <w:pPr>
                      <w:jc w:val="center"/>
                      <w:spacing w:after="160"/>
                    </w:pPr>
                    <w:r>
                      <w:t xml:space="preserve">1</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750 000</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150 000</w:t>
                    </w:r>
                  </w:p>
                </w:tc>
                <w:tc>
                  <w:tcPr>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600 000</w:t>
                    </w:r>
                  </w:p>
                </w:tc>
                <w:tc>
                  <w:tcPr>
                    <w:tcW w:w="194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40 000</w:t>
                    </w:r>
                  </w:p>
                </w:tc>
              </w:tr>
              <w:tr>
                <w:trPr>
                  <w:tblCellSpacing w:w="0" w:type="dxa"/>
                </w:trPr>
                <w:tc>
                  <w:tcPr>
                    <w:tcBorders>
                      <w:top w:val="none" w:color="000000" w:sz="0"/>
                      <w:left w:val="single" w:color="000000" w:sz="0"/>
                      <w:bottom w:val="single" w:color="000000" w:sz="0"/>
                      <w:right w:val="single" w:color="000000" w:sz="0"/>
                    </w:tcBorders>
                    <w:tcMar>
                      <w:left w:w="108" w:type="dxa"/>
                      <w:right w:w="108" w:type="dxa"/>
                    </w:tcMar>
                    <w:vAlign w:val="top"/>
                  </w:tcPr>
                  <w:p>
                    <w:pPr>
                      <w:jc w:val="center"/>
                      <w:spacing w:after="160"/>
                    </w:pPr>
                    <w:r>
                      <w:t xml:space="preserve">2</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28 000 000</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5 600 000</w:t>
                    </w:r>
                  </w:p>
                </w:tc>
                <w:tc>
                  <w:tcPr>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22 400 000</w:t>
                    </w:r>
                  </w:p>
                </w:tc>
                <w:tc>
                  <w:tcPr>
                    <w:tcW w:w="194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1 460 000</w:t>
                    </w:r>
                  </w:p>
                </w:tc>
              </w:tr>
              <w:tr>
                <w:trPr>
                  <w:tblCellSpacing w:w="0" w:type="dxa"/>
                </w:trPr>
                <w:tc>
                  <w:tcPr>
                    <w:tcBorders>
                      <w:top w:val="none" w:color="000000" w:sz="0"/>
                      <w:left w:val="single" w:color="000000" w:sz="0"/>
                      <w:bottom w:val="single" w:color="000000" w:sz="0"/>
                      <w:right w:val="single" w:color="000000" w:sz="0"/>
                    </w:tcBorders>
                    <w:tcMar>
                      <w:left w:w="108" w:type="dxa"/>
                      <w:right w:w="108" w:type="dxa"/>
                    </w:tcMar>
                    <w:vAlign w:val="top"/>
                  </w:tcPr>
                  <w:p>
                    <w:pPr>
                      <w:jc w:val="center"/>
                      <w:spacing w:after="160"/>
                    </w:pPr>
                    <w:r>
                      <w:t xml:space="preserve">3</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1 250 000</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250 000</w:t>
                    </w:r>
                  </w:p>
                </w:tc>
                <w:tc>
                  <w:tcPr>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1 000 000</w:t>
                    </w:r>
                  </w:p>
                </w:tc>
                <w:tc>
                  <w:tcPr>
                    <w:tcW w:w="194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65 000</w:t>
                    </w:r>
                  </w:p>
                </w:tc>
              </w:tr>
              <w:tr>
                <w:trPr>
                  <w:tblCellSpacing w:w="0" w:type="dxa"/>
                </w:trPr>
                <w:tc>
                  <w:tcPr>
                    <w:tcBorders>
                      <w:top w:val="none" w:color="000000" w:sz="0"/>
                      <w:left w:val="single" w:color="000000" w:sz="0"/>
                      <w:bottom w:val="single" w:color="000000" w:sz="0"/>
                      <w:right w:val="single" w:color="000000" w:sz="0"/>
                    </w:tcBorders>
                    <w:tcMar>
                      <w:left w:w="108" w:type="dxa"/>
                      <w:right w:w="108" w:type="dxa"/>
                    </w:tcMar>
                    <w:vAlign w:val="top"/>
                  </w:tcPr>
                  <w:p>
                    <w:pPr>
                      <w:jc w:val="center"/>
                      <w:spacing w:after="160"/>
                    </w:pPr>
                    <w:r>
                      <w:t xml:space="preserve">4</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29 250 000</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5 850 000</w:t>
                    </w:r>
                  </w:p>
                </w:tc>
                <w:tc>
                  <w:tcPr>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23 400 000</w:t>
                    </w:r>
                  </w:p>
                </w:tc>
                <w:tc>
                  <w:tcPr>
                    <w:tcW w:w="194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1 520 000</w:t>
                    </w:r>
                  </w:p>
                </w:tc>
              </w:tr>
            </w:tbl>
            <w:p>
              <w:pPr>
                <w:spacing w:after="160"/>
              </w:pPr>
              <w:r>
                <w:t xml:space="preserve">Forutsetninger: Forenklet beregning av MVA-komp, annuitetsberegning, rente 5 % og avskrivning over 30 år. *) Nåværende husleie Lundedalen fritidssenter</w:t>
              </w:r>
            </w:p>
            <w:p>
              <w:pPr>
                <w:spacing w:after="160"/>
              </w:pPr>
              <w:r>
                <w:t xml:space="preserve">Ut i fra tallene i tabellen over vil kommunedirektørens innstilling innebære en investering på kr. 1 250 000,- . Årskostnaden blir kr. 190 000,- (husleie kr. 125 000,-  + renter kr. 65 000,-).</w:t>
              </w:r>
            </w:p>
            <w:p>
              <w:pPr>
                <w:spacing w:after="160"/>
              </w:pPr>
              <w:r>
                <w:rPr>
                  <w:b/>
                </w:rPr>
                <w:t xml:space="preserve">Framdrift</w:t>
              </w:r>
            </w:p>
            <w:p>
              <w:pPr>
                <w:spacing w:after="160"/>
              </w:pPr>
              <w:r>
                <w:t xml:space="preserve">Alternativ 1 og 3 vil isolert sett kunne gjennomføres raskt, men betinger at leieavtalen med HEI må opphøre. Avtalen har 6 måneders oppsigelse, slik at samlet tidsbruk vil dreie seg om 8 – 10 måneder. Arbeidene vil kunne utføres innenfor gjeldende rammeavtaler for håndverkertjenester, slik at man langt på vei unngår resurskrevende anskaffelsesprosesser.</w:t>
              </w:r>
            </w:p>
            <w:p>
              <w:pPr>
                <w:spacing w:after="160"/>
              </w:pPr>
              <w:r>
                <w:t xml:space="preserve">Ombygging av eksisterende svømmehall, altså alternativ 2 og 4 vil måtte følge en tradisjonell modell med anskaffelse av rådgivergruppe, utarbeiding av skisse- og forprosjekt, investeringsbeslutning B2, anskaffelse av totalentreprenør, og deretter detaljprosjektering og gjennomføring. Planleggingsfasen, inklusiv anskaffelse, fram mot B2 anslås til 6 – 8 måneder, og deretter kontrahering totalentreprenør og bygging 10 – 12 måneder. Nytt tilbud kan dermed være på plass senhøstes 2027/ vinter 2028.</w:t>
              </w:r>
            </w:p>
            <w:p>
              <w:pPr>
                <w:spacing w:after="160"/>
              </w:pPr>
              <w:r>
                <w:t xml:space="preserve">Samtlige alternativer fra 1 – 4 kan gjennomføres uten at det påvirker nåværende tilbud til unge eller eldre.   </w:t>
              </w:r>
            </w:p>
            <w:p>
              <w:pPr>
                <w:spacing w:after="160"/>
              </w:pPr>
              <w:r>
                <w:rPr>
                  <w:b/>
                </w:rPr>
                <w:t xml:space="preserve">Kommunedirektørens vurdering</w:t>
              </w:r>
            </w:p>
            <w:p>
              <w:pPr>
                <w:spacing w:after="160"/>
              </w:pPr>
              <w:r>
                <w:t xml:space="preserve">Et godt tilbud til alle lag av befolkningen ute i de enkelte bydelene er viktig for å forebygge utenforskap, og fremme trivsel og folkehelse. Som det framgår av uttalelsene fra spurte interessenter så stiller samtlige seg bak etablering av et nytt fritidstilbud i Heistadhallen.</w:t>
              </w:r>
            </w:p>
            <w:p>
              <w:pPr>
                <w:spacing w:after="160"/>
              </w:pPr>
              <w:r>
                <w:t xml:space="preserve">Den mulige løsningen med ny og større fritidsklubb i den nedlagte svømmehallen vil utvilsomt være et betydelig løft i så måte, men samtidig framstår kostnaden som uforholdsmessig høy. Kommunedirektøren finner derfor ikke at det er rom for en investering på opp mot 30 MNOK sett i lys av kommende store investeringer innenfor barn og unge, og eldreomsorg.</w:t>
              </w:r>
              <w:r>
                <w:rPr>
                  <w:b/>
                </w:rPr>
                <w:t xml:space="preserve">    </w:t>
              </w:r>
              <w:r>
                <w:t xml:space="preserve"> </w:t>
              </w:r>
            </w:p>
            <w:p>
              <w:pPr>
                <w:spacing w:after="160"/>
              </w:pPr>
              <w:r>
                <w:t xml:space="preserve">Dermed blir anbefalingen å gå videre med alternativ 1, men tilpasset slik at arealet også kan benyttes av eldre, lag og foreninger. Dette gir en mer sentral plassering av tilbudet, og det bør også være mulig at øvrige fasiliteter i og rundt Heistadhallen kan supplere de noe begrensede arealene tiltenkt fritidsklubben. Alternativ 1, med nevnte justeringer, framstår som det mest balanserte alternativet, og innebærer at tilbudet til eldre styrkes betydelig gjennom etablering av møteplass i Heistadhallen, samtidig som eksisterende ungdomstilbud opprettholdes. Selv om ungdomstilbudet i dette alternativet ikke blir fullverdig i form av en samlet møteplass, vil en hensiktsmessig fordeling av bruken av Heistadhallen kunne bidra til å styrke tilbudet samlet sett for begge grupper. Kommunedirektøren vurderer at dette alternativet gir et bedret samlet tilbud til både eldre og ungdom på Heistad, innenfor en økonomisk ramme som er forsvarlig sett i lys av kommunens øvrige prioriteringer.</w:t>
              </w:r>
            </w:p>
            <w:p>
              <w:pPr>
                <w:spacing w:after="160"/>
              </w:pPr>
              <w:r>
                <w:t xml:space="preserve">Samtidig bør man, i hvert fall på noe sikt, opprettholde leieforholdet på lokalene i Lundedalen, slik at Heistad Trialklubb kan driftes videre. Tilsvarende vil det ikke være grunn til å gå bort i fra å bruke det gamle bedehuset, som et supplement til et nytt tilbud i Heistadhallen.</w:t>
              </w:r>
            </w:p>
            <w:p>
              <w:pPr>
                <w:spacing w:after="160"/>
              </w:pPr>
              <w:r>
                <w:t xml:space="preserve">Kommunedirektørens forslag til innstilling framgår av sakens første side.</w:t>
              </w:r>
            </w:p>
            <w:p>
              <w:pPr>
                <w:spacing w:after="160"/>
              </w:pPr>
              <w:r>
                <w:t xml:space="preserve"> </w:t>
              </w:r>
              <w:r>
                <w:rPr>
                  <w:b/>
                </w:rPr>
                <w:t xml:space="preserve">Vedlegg</w:t>
              </w:r>
            </w:p>
            <w:p>
              <w:pPr>
                <w:spacing w:after="160"/>
              </w:pPr>
              <w:r>
                <w:t xml:space="preserve">·        Plantegning som viser «samfunnsdelen» i Heistadhallen</w:t>
              </w:r>
            </w:p>
            <w:p>
              <w:pPr>
                <w:spacing w:after="160"/>
              </w:pPr>
              <w:r>
                <w:t xml:space="preserve">·        Mulighetsstudie fritidsklubb i eks. svømmehall på Heistad</w:t>
              </w:r>
            </w:p>
            <w:p>
              <w:pPr>
                <w:spacing w:after="160"/>
              </w:pPr>
              <w:r>
                <w:t xml:space="preserve">·        Uttalelser fra interessenter</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22f886b04dab43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Fritidstilbud Heistad – Utredning (B1)</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