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26/3715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Fridrik Ivar Bergsteinsson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17.04.2026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Lanner vindkraftverk - prinsipiell avklaring av arealbruk i kommuneplanens arealdel</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 Med utgangspunkt i Viljeserklæringen i Bystyresak 9/23, er kommunen positiv til at planinitiativet, om mulig etablering av vindkraftverk på Lanner, fra Norsk Vind AS, datert 25.03.2026, utredes videre gjennom ordinær planprosess etter plan- og bygningsloven. Vedtaket er en prinsipiell avklaring om mulig endret arealbruk og videre prosess, og innebærer ikke forhåndsgodkjenning av et vindkraftverk i Porsgrunn. </w:t>
              </w:r>
            </w:p>
            <w:p>
              <w:pPr>
                <w:spacing w:after="160"/>
              </w:pPr>
              <w:r>
                <w:t xml:space="preserve">Prinsippavklaringen innebærer ikke at det er tatt stilling til om Lanner er den best egnede lokaliseringen for vindkraft i Porsgrunn kommune, eller at andre mulige initiativ eller lokaliseringer er vurdert og avklart gjennom denne saken.</w:t>
              </w:r>
            </w:p>
            <w:p>
              <w:pPr>
                <w:spacing w:after="160"/>
              </w:pPr>
              <w:r>
                <w:br/>
              </w: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Viktige punkter i saken</w:t>
              </w:r>
            </w:p>
            <w:p>
              <w:pPr>
                <w:pStyle w:val="ListParagraph"/>
                <w:numPr>
                  <w:ilvl w:val="0"/>
                  <w:numId w:val="2"/>
                </w:numPr>
                <w:spacing w:after="160"/>
              </w:pPr>
              <w:r>
                <w:t xml:space="preserve">Porsgrunn kommune har mottatt et planinitiativ fra Norsk Vind AS om mulig etablering av et vindkraftverk på Lanner, med anmodning om et oppstartsmøte for områderegulering. </w:t>
              </w:r>
            </w:p>
            <w:p>
              <w:pPr>
                <w:pStyle w:val="ListParagraph"/>
                <w:numPr>
                  <w:ilvl w:val="0"/>
                  <w:numId w:val="2"/>
                </w:numPr>
                <w:spacing w:after="160"/>
              </w:pPr>
              <w:r>
                <w:t xml:space="preserve">Etter lovendringen som trådte i kraft 1. juli 2023, kan konsesjon for vindkraft på land ikke gis før tiltaket er planavklart etter plan- og bygningsloven. Det overordnede formålet med lovendringen var å styrke kommunenes rolle i planlegging og utbygging av vindkraft på land. Planavklaringen skal normalt skje ved områderegulering.</w:t>
              </w:r>
            </w:p>
            <w:p>
              <w:pPr>
                <w:pStyle w:val="ListParagraph"/>
                <w:numPr>
                  <w:ilvl w:val="0"/>
                  <w:numId w:val="2"/>
                </w:numPr>
                <w:spacing w:after="160"/>
              </w:pPr>
              <w:r>
                <w:t xml:space="preserve">En viktig grunn til at saken fremmes som prinsippsak, er at det foreslåtte planområdet i hovedsak ligger i et LNF-område. Bare en mindre del er regulert til massedeponi. Et eventuelt vindkraftanlegg vil derfor forutsette nye planavklaringer utover dagens arealbruk. Saken gjelder om kommunen skal gå videre med planprosess for Lanner, og hvordan plan- og konsesjonsløpet bør samordnes med NVE. Saken gjelder ikke realitetsavgjørelse av utbygging.</w:t>
              </w:r>
            </w:p>
            <w:p>
              <w:pPr>
                <w:spacing w:after="160"/>
              </w:pPr>
              <w:r>
                <w:t xml:space="preserve">Porsgrunn kommune behandlet i 2023 sitt standpunkt til fornybar kraft (bystyresak 9/23 - 16.03.23 om viljeserklæring for fornybar energi). Kommunedirektøren vurderer at viljeserklæringen er relevant som politisk og strategisk bakteppe for denne prinsippsaken, men understreker samtidig at en prinsipiell avklaring av videre planavklaring etter plan- og bygningsloven ikke innebærer en forhåndsgodkjenning av et vindkraftverk i Porsgrunn. Prinsippsaken gir grunnlag for tidlig politisk forankring av videre prosess, utredningsbehov og medvirkning.</w:t>
              </w:r>
            </w:p>
            <w:p>
              <w:pPr>
                <w:spacing w:after="160"/>
              </w:pPr>
              <w:r>
                <w:t xml:space="preserve"> </w:t>
              </w:r>
            </w:p>
            <w:p>
              <w:pPr>
                <w:spacing w:after="160"/>
              </w:pPr>
              <w:r>
                <w:rPr>
                  <w:b/>
                </w:rPr>
                <w:t xml:space="preserve">Referanser</w:t>
              </w:r>
            </w:p>
            <w:p>
              <w:pPr>
                <w:pStyle w:val="ListParagraph"/>
                <w:numPr>
                  <w:ilvl w:val="0"/>
                  <w:numId w:val="3"/>
                </w:numPr>
                <w:spacing w:after="160"/>
              </w:pPr>
              <w:hyperlink w:history="true" r:id="Rbf3b4c868c0a466c">
                <w:r>
                  <w:rPr>
                    <w:rStyle w:val="Hyperlink"/>
                  </w:rPr>
                  <w:t xml:space="preserve">Lov om planlegging og byggesaksbehandling (plan- og bygningsloven) - Lovdata</w:t>
                </w:r>
              </w:hyperlink>
            </w:p>
            <w:p>
              <w:pPr>
                <w:pStyle w:val="ListParagraph"/>
                <w:numPr>
                  <w:ilvl w:val="0"/>
                  <w:numId w:val="3"/>
                </w:numPr>
                <w:spacing w:after="160"/>
              </w:pPr>
              <w:hyperlink w:history="true" r:id="R882a868eaccd4b11">
                <w:r>
                  <w:rPr>
                    <w:rStyle w:val="Hyperlink"/>
                  </w:rPr>
                  <w:t xml:space="preserve">Nasjonale forventninger til regional og kommunal planlegging 2023–2027 - regjeringen.no</w:t>
                </w:r>
              </w:hyperlink>
            </w:p>
            <w:p>
              <w:pPr>
                <w:pStyle w:val="ListParagraph"/>
                <w:numPr>
                  <w:ilvl w:val="0"/>
                  <w:numId w:val="3"/>
                </w:numPr>
                <w:spacing w:after="160"/>
              </w:pPr>
              <w:hyperlink w:history="true" r:id="R18527e37197a4c53">
                <w:r>
                  <w:rPr>
                    <w:rStyle w:val="Hyperlink"/>
                  </w:rPr>
                  <w:t xml:space="preserve">Statlige planretningslinjer for arealbruk og mobilitet - Lovdata</w:t>
                </w:r>
              </w:hyperlink>
            </w:p>
            <w:p>
              <w:pPr>
                <w:pStyle w:val="ListParagraph"/>
                <w:numPr>
                  <w:ilvl w:val="0"/>
                  <w:numId w:val="3"/>
                </w:numPr>
                <w:spacing w:after="160"/>
              </w:pPr>
              <w:hyperlink w:history="true" r:id="R2d5e6a00611b472a">
                <w:r>
                  <w:rPr>
                    <w:rStyle w:val="Hyperlink"/>
                  </w:rPr>
                  <w:t xml:space="preserve">Statlige planretningslinjer for klima og energi - Lovdata</w:t>
                </w:r>
              </w:hyperlink>
            </w:p>
            <w:p>
              <w:pPr>
                <w:pStyle w:val="ListParagraph"/>
                <w:numPr>
                  <w:ilvl w:val="0"/>
                  <w:numId w:val="3"/>
                </w:numPr>
                <w:spacing w:after="160"/>
              </w:pPr>
              <w:hyperlink w:history="true" r:id="R4a8d1b094931476c">
                <w:r>
                  <w:rPr>
                    <w:rStyle w:val="Hyperlink"/>
                  </w:rPr>
                  <w:t xml:space="preserve">Rundskriv motsegn</w:t>
                </w:r>
              </w:hyperlink>
              <w:r>
                <w:t xml:space="preserve"> (rundskriv M1-2025 om nasjonale jordverninteresser)</w:t>
              </w:r>
            </w:p>
            <w:p>
              <w:pPr>
                <w:spacing w:after="160"/>
              </w:pPr>
              <w:r>
                <w:t xml:space="preserve"> </w:t>
              </w:r>
            </w:p>
            <w:p>
              <w:pPr>
                <w:spacing w:after="160"/>
              </w:pPr>
              <w:r>
                <w:rPr>
                  <w:b/>
                </w:rPr>
                <w:t xml:space="preserve">Bakgrunn</w:t>
              </w:r>
            </w:p>
            <w:p>
              <w:pPr>
                <w:spacing w:after="160"/>
              </w:pPr>
              <w:r>
                <w:t xml:space="preserve">Norsk Vind AS oversendte 25. mars 2026 planinitiativ etter plan- og bygningsloven § 12-8 med anmodning om oppstartsmøte for arbeid med områderegulering for mulig vindkraftverk på Lanner. Planinitiativet er sendt i kopi til NVE, og forslagsstiller ønsker at NVE deltar i oppstartsmøtet. Planinitiativet er vedlagt saken. </w:t>
              </w:r>
            </w:p>
            <w:p>
              <w:pPr>
                <w:spacing w:after="160"/>
              </w:pPr>
              <w:r>
                <w:t xml:space="preserve">Porsgrunn kommune behandlet den 16. mars 2023 sitt standpunkt om fornybar kraft (bystyresak 9/23). Viljeserklæringen er vedlagt saken. </w:t>
              </w:r>
            </w:p>
            <w:p>
              <w:pPr>
                <w:spacing w:after="160"/>
              </w:pPr>
              <w:r>
                <w:t xml:space="preserve">Porsgrunn kommune har myndighet etter plan- og bygningsloven til å si ja eller nei til vindkraftverk uavhengig av konsesjonsprosessen etter energiloven. Nasjonal veileder for planlegging av vindkraftanlegg på land er vedlagt saken. Kommunedirektøren vurderer at viljeserklæringen fra 2023 er relevant som politisk og strategisk bakteppe for vurderingen av nye initiativ innen fornybar kraftproduksjon. Viljeserklæringen innebærer imidlertid ikke en beslutning til konkrete prosjekter eller lokaliseringer.</w:t>
              </w:r>
            </w:p>
            <w:p>
              <w:pPr>
                <w:spacing w:after="160"/>
              </w:pPr>
              <w:r>
                <w:t xml:space="preserve"> </w:t>
              </w:r>
            </w:p>
            <w:p>
              <w:pPr>
                <w:spacing w:after="160"/>
              </w:pPr>
              <w:r>
                <w:rPr>
                  <w:b/>
                </w:rPr>
                <w:t xml:space="preserve">Beskrivelse av tiltaket</w:t>
              </w:r>
            </w:p>
            <w:p>
              <w:pPr>
                <w:spacing w:after="160"/>
              </w:pPr>
              <w:r>
                <w:t xml:space="preserve">Planinitiativet omfatter et foreslått planområde på om lag 2 km² i Porsgrunn kommune. Forslagsstiller framhever at området ligger i nærhet til eksisterende infrastruktur som E18, skytebane og massedeponier, og vurderer at dette kan gi mulighet for sambruk og redusert behov for nye inngrep.</w:t>
              </w:r>
            </w:p>
            <w:p>
              <w:pPr>
                <w:spacing w:after="160"/>
              </w:pPr>
              <w:r>
                <w:t xml:space="preserve">Det foreslåtte planområdet avgrenses av Sortilsvatnet i vest og Storeberg i øst. Mot sør ligger dagens E18 i en avstand på om lag 250–900 meter fra planområdet. Mellom E18 og planområdet ligger Lillegårdsæter skytebane. Innenfor planområdet ligger tre større deponier etablert i forbindelse med jernbanetunnel for Eidangerparsellen, og det er etablert veg inn i området som i dag brukes til anleggstrafikk og deponering av masser.</w:t>
              </w:r>
            </w:p>
            <w:p>
              <w:pPr>
                <w:spacing w:after="160"/>
              </w:pPr>
              <w:r>
                <w:t xml:space="preserve">Forslagsstiller opplyser at det planlegges om lag 8 vindturbiner, avhengig av turbinmodell og endelig planområde. Turbinene er skissert med effekt i størrelsesorden 5–8 MW per turbin og maksimal totalhøyde på inntil 240 meter. Årlig produksjon er anslått til opp mot 170 GWh. Endelig antall turbiner, plassering og utbyggingsomfang må avklares gjennom plan- og konsensjonsarbeidet.</w:t>
              </w:r>
            </w:p>
            <w:p>
              <w:pPr>
                <w:spacing w:after="160"/>
              </w:pPr>
              <w:r>
                <w:t xml:space="preserve">Planinitiativet legger til grunn at eksisterende veg gjennom skytebanen og deler av vegnettet ved deponiene i størst mulig grad skal gjenbrukes. Nye interne veger til vindturbinene er beskrevet med en bredde på om lag 5,5 meter, med nødvendige utvidelser i kurver. Ved hver turbin er det skissert oppstillingsplass for kran på om lag 3.000 m². Mellom turbinene er det planlagt jordkabel langs vegene med spenningsnivå 22 eller 33 kV. Ved behov kan det etableres transformatorstasjon innenfor planområdet. Driftsbygning og lager er forutsatt etablert utenfor planområdet i eksisterende industriområder.</w:t>
              </w:r>
            </w:p>
            <w:p>
              <w:pPr>
                <w:spacing w:after="160"/>
              </w:pPr>
              <w:r>
                <w:t xml:space="preserve">Forslagsstiller har også oppgitt at tiltaket kan gi kommunen inntekter gjennom produksjonsavgift og eiendomsskatt. Dette er utbyggers anslag. Økonomiske virkninger må vurderes nærmere i det videre utredningsarbeidet.</w:t>
              </w:r>
            </w:p>
            <w:p>
              <w:pPr>
                <w:spacing w:after="160"/>
              </w:pPr>
              <w:r>
                <w:t xml:space="preserve"> </w:t>
              </w:r>
            </w:p>
            <w:p>
              <w:pPr>
                <w:spacing w:after="160"/>
              </w:pPr>
              <w:r>
                <w:rPr>
                  <w:b/>
                </w:rPr>
                <w:t xml:space="preserve">Produksjon og forholdet til energibehovet i Porsgrunn</w:t>
              </w:r>
            </w:p>
            <w:p>
              <w:pPr>
                <w:spacing w:after="160"/>
              </w:pPr>
              <w:r>
                <w:t xml:space="preserve">Forslagsstiller anslår en årlig kraftproduksjon på opp mot 170 GWh fra Lanner vindkraftverk. Planinitiativet viser til rapporten «Ny energiproduksjon og energieffektivisering i Grenland», hvor Porsgrunns samlede energiforbruk er oppgitt til 2 580 GWh i 2023, med anslått økning til 3 290 GWh i 2030 og 10 848 GWh i 2050. Rapporten er vedlagt saken. Et vindkraftanlegg på Lanner må derfor ses på som et bidrag til kraftforsyningen, men ikke som hele løsningen på kommunens eller industriens samlede energibehov. </w:t>
              </w:r>
            </w:p>
            <w:p>
              <w:pPr>
                <w:spacing w:after="160"/>
              </w:pPr>
              <w:r>
                <w:t xml:space="preserve"> </w:t>
              </w:r>
            </w:p>
            <w:p>
              <w:pPr>
                <w:spacing w:after="160"/>
              </w:pPr>
              <w:r>
                <w:rPr>
                  <w:b/>
                </w:rPr>
                <w:t xml:space="preserve">Planområdet og omgivelser</w:t>
              </w:r>
            </w:p>
            <w:p>
              <w:pPr>
                <w:spacing w:after="160"/>
              </w:pPr>
              <w:r>
                <w:t xml:space="preserve">Innenfor planområdet på ca. 2 km2 ligger tre større deponier etablert i forbindelse med byggingen av Eidangerparsellen. De regulerte deponiene utgjør om lag 0,23 km², mens resten av skissert planområde i hovedsak er satt av til LNF-formål i kommuneplanens arealdel, bestående for det meste av skog.</w:t>
              </w:r>
            </w:p>
            <w:p>
              <w:pPr>
                <w:spacing w:after="160"/>
              </w:pPr>
              <w:r>
                <w:t xml:space="preserve"> </w:t>
              </w:r>
            </w:p>
            <w:p>
              <w:pPr>
                <w:spacing w:after="160"/>
              </w:pPr>
              <w:r>
                <w:rPr>
                  <w:b/>
                </w:rPr>
                <w:t xml:space="preserve">Adkomst, transport og nettilknytning</w:t>
              </w:r>
            </w:p>
            <w:p>
              <w:pPr>
                <w:spacing w:after="160"/>
              </w:pPr>
              <w:r>
                <w:t xml:space="preserve">Forslagsstiller skisserer at adkomst i stor grad kan skje via eksisterende veger inn til deponiområdet. Planinitiativet omtaler også transport av turbinkomponenter som spesialtransport fra aktuelle havner, og at slike transporter vil kreve avklaringer med vegeier og godkjenning fra Statens vegvesen. For nettilknytning beskriver initiativet alternative løsninger: ved mindre utbygging til eksisterende 22 kV-ledning nær området, og ved større utbygging etablering av transformatorstasjon innenfor planområdet og ny 132 kV-løsning mot Solum koblingsstasjon. Planinitiativet presiserer at nettilknytning ikke avklares etter plan- og bygningsloven, men omsøkes etter energiloven og inngår i konsesjonsprosessen.</w:t>
              </w:r>
            </w:p>
            <w:p>
              <w:pPr>
                <w:spacing w:after="160"/>
              </w:pPr>
              <w:r>
                <w:t xml:space="preserve"> </w:t>
              </w:r>
            </w:p>
            <w:p>
              <w:pPr>
                <w:spacing w:after="160"/>
              </w:pPr>
              <w:r>
                <w:rPr>
                  <w:b/>
                </w:rPr>
                <w:t xml:space="preserve">Forhold til planer og arealdelen</w:t>
              </w:r>
            </w:p>
            <w:p>
              <w:pPr>
                <w:spacing w:after="160"/>
              </w:pPr>
              <w:r>
                <w:t xml:space="preserve">Planinitiativet opplyser at tre reguleringsplaner delvis overlapper foreslått planområde, herunder reguleringsplanene for Vestfoldbanen og nye E18. Kommunedirektøren legger derfor til grunn at et eventuelt vindkraftanlegg på Lanner vil kreve nye planavklaringer og innebære annen arealbruk enn dagens overordnede arealdisponering, og er hovedårsaken til at saken løftes fram som prinsippsak.</w:t>
              </w:r>
            </w:p>
            <w:p>
              <w:pPr>
                <w:spacing w:after="160"/>
              </w:pPr>
              <w:r>
                <w:t xml:space="preserve">I arbeidet med kommuneplanens arealdel er det mottatt totalt fire innspill knyttet til vind- og solkraft. Lanner-alternativet er et av disse. Mottak av et konkret planinitiativ for Lanner innebærer at kommunen må ta stilling til om dette konkrete tiltaket skal følges opp gjennom egen planprosess. Øvrige innspill avklares i revisjon av kommuneplanens arealdel.</w:t>
              </w:r>
            </w:p>
            <w:p>
              <w:pPr>
                <w:spacing w:after="160"/>
              </w:pPr>
              <w:r>
                <w:t xml:space="preserve"> </w:t>
              </w:r>
            </w:p>
            <w:p>
              <w:pPr>
                <w:spacing w:after="160"/>
              </w:pPr>
              <w:r>
                <w:rPr>
                  <w:b/>
                </w:rPr>
                <w:t xml:space="preserve">Forholdet til andre vindkraft-aktører og avgrensning av saken</w:t>
              </w:r>
            </w:p>
            <w:p>
              <w:pPr>
                <w:spacing w:after="160"/>
              </w:pPr>
              <w:r>
                <w:t xml:space="preserve">Kommunedirektøren gjør oppmerksom på at det – i tillegg til Lanner-initiativet – finnes to andre aktører som har signalisert interesse for regulering av vindkraftanlegg i Porsgrunn kommune med tilsvarende størrelse. Disse inngår ikke i denne saken, som er avgrenset til Lanner.</w:t>
              </w:r>
            </w:p>
            <w:p>
              <w:pPr>
                <w:spacing w:after="160"/>
              </w:pPr>
              <w:r>
                <w:t xml:space="preserve">Kommunedirektøren vil samtidig peke på at en slik avgrensning reiser et relevant spørsmål om hvordan kommunen bør håndtere flere mulige initiativ innen samme tema. Når saken gjelder ett konkret prosjekt, kan dette oppfattes som at kommunen i praksis gir dette initiativet et fortrinn i den videre prosessen. Kommunedirektøren vil derfor påpeke at planprogrammet etter forskrift om konsekvensutredninger skal redegjøre for relevante og realistiske </w:t>
              </w:r>
              <w:r>
                <w:rPr>
                  <w:u w:val="single"/>
                </w:rPr>
                <w:t xml:space="preserve">alternativer</w:t>
              </w:r>
              <w:r>
                <w:t xml:space="preserve"> til lokalisering og hvordan disse skal vurderes i konsekvensutredningen. Dette betyr at kommunen i det videre arbeidet må vurdere om det er grunnlag for å se Lanner-initiativet opp mot andre mulige lokaliseringer, og ikke bare det framlagte tiltaket isolert sett. I en sak hvor lokalisering har stor betydning for interesseavveiinger og samlet måloppnåelse, er dette et viktig vurderingstema.</w:t>
              </w:r>
            </w:p>
            <w:p>
              <w:pPr>
                <w:spacing w:after="160"/>
              </w:pPr>
              <w:r>
                <w:t xml:space="preserve">Kommunedirektøren legger derfor til grunn at prinsippavklaringen for Lanner ikke må forstås som en vurdering av at dette nødvendigvis er den best egnede lokaliseringen for vindkraft i kommunen, eller som en generell prioritering av én aktør framfor andre. Prinsippavklaringen gjelder kun om kommunen skal gå videre med planfaglig avklaring av det konkrete planinitiativet som foreligger. Eventuelle andre initiativ og alternativer må vurderes i egne prosesser eller i sammenheng med kommunens helhetlige arbeid med arealdel og framtidige avklaringer for fornybar energi.</w:t>
              </w:r>
            </w:p>
            <w:p>
              <w:pPr>
                <w:spacing w:after="160"/>
              </w:pPr>
              <w:r>
                <w:t xml:space="preserve"> </w:t>
              </w:r>
            </w:p>
            <w:p>
              <w:pPr>
                <w:spacing w:after="160"/>
              </w:pPr>
              <w:r>
                <w:rPr>
                  <w:b/>
                </w:rPr>
                <w:t xml:space="preserve">Nasjonal politikk i landbasert vindkraft</w:t>
              </w:r>
            </w:p>
            <w:p>
              <w:pPr>
                <w:spacing w:after="160"/>
              </w:pPr>
              <w:r>
                <w:t xml:space="preserve">Det vises til </w:t>
              </w:r>
              <w:r>
                <w:rPr>
                  <w:i/>
                </w:rPr>
                <w:t xml:space="preserve">Nasjonale forventninger til regional og kommunal planlegging</w:t>
              </w:r>
              <w:r>
                <w:t xml:space="preserve">, hvor forventning nr. 32 peker på behovet for mer fornybar energiproduksjon. Denne forventningen følges opp i de nyere Statlige planretningslinjene for klima og energi, i punkt 3c og 4.3g. Men samtidig peker disse og andre sentrale føringer på at kommuner skal unngå omdisponering og nedbygging av karbonrike arealer, ivareta viktige arealer for friluftsliv og naturmangfold (punkt 3.10 i </w:t>
              </w:r>
              <w:r>
                <w:rPr>
                  <w:i/>
                </w:rPr>
                <w:t xml:space="preserve">Statlige retningslinjer for arealbruk og mobilitet</w:t>
              </w:r>
              <w:r>
                <w:t xml:space="preserve">), og ha en særlig restriktiv holdning til å bygge ned matjord (</w:t>
              </w:r>
              <w:r>
                <w:rPr>
                  <w:i/>
                </w:rPr>
                <w:t xml:space="preserve">rundskriv M1-2025</w:t>
              </w:r>
              <w:r>
                <w:t xml:space="preserve">). I sum skal kommuner derfor ha fokus på en arealforvaltning som er mest mulig arealeffektiv, i størst mulig grad unngår nedbygging av grønne arealer og som finner alternative arealer innenfor/i tilknytning til eksisterende byggeområder. I saker om vindkraftanlegg og andre arealkrevende virksomheter vil det derfor være interessekonflikter som må avveies, hvor hvilke hensyn som skal vektes tyngst vil avklares gjennom planprosessen.</w:t>
              </w:r>
            </w:p>
            <w:p>
              <w:pPr>
                <w:spacing w:after="160"/>
              </w:pPr>
              <w:r>
                <w:t xml:space="preserve">Nasjonale føringer for vindkraft på land legger altså til grunn at utbygging skal skje innenfor tydelige kommunale og planfaglige rammer. Det overordnede formålet med lovendringen var å styrke kommunenes rolle i planlegging og utbygging av vindkraft på land, og at konsesjon ikke kan gis før arealbruken er avklart etter plan- og bygningsloven. Det vises videre til at vedtatt områderegulering skal foreligge før det kan gis konsesjon, og at kommunen kan fastsette overordnede arealmessige forutsetninger i områdereguleringsplanen som er relevante for kommunens beslutning om arealbruk for vindkraftanlegget.</w:t>
              </w:r>
            </w:p>
            <w:p>
              <w:pPr>
                <w:spacing w:after="160"/>
              </w:pPr>
              <w:r>
                <w:t xml:space="preserve">Nasjonal politikk peker samtidig på behovet for mer fornybar kraft. Den nasjonale politikken gir dermed et bakteppe for saken, men endrer ikke kommunens ansvar for å foreta selvstendige planfaglige og politiske vurderinger av lokalisering, interessekonflikter og aksept i den enkelte sak. Kommunedirektøren vurderer at dette understøtter behovet for tydelig politisk styring, lokal forankring og bred medvirkning i behandlingen av Lanner-initiativet.</w:t>
              </w:r>
            </w:p>
            <w:p>
              <w:pPr>
                <w:spacing w:after="160"/>
              </w:pPr>
              <w:r>
                <w:t xml:space="preserve"> </w:t>
              </w:r>
            </w:p>
            <w:p>
              <w:pPr>
                <w:spacing w:after="160"/>
              </w:pPr>
              <w:r>
                <w:rPr>
                  <w:b/>
                </w:rPr>
                <w:t xml:space="preserve">Prosess, roller og politisk handlingsrom</w:t>
              </w:r>
            </w:p>
            <w:p>
              <w:pPr>
                <w:spacing w:after="160"/>
              </w:pPr>
              <w:r>
                <w:t xml:space="preserve">Kommunen er planmyndighet i saker om vindkraftanlegg på land, og avklarer arealbruk og rammer gjennom plantypen områderegulering. NVE avgjør konsesjon etter energiloven. Konsesjon kan ikke gis før planavklaring foreligger.</w:t>
              </w:r>
            </w:p>
            <w:p>
              <w:pPr>
                <w:spacing w:after="160"/>
              </w:pPr>
              <w:r>
                <w:t xml:space="preserve">Områderegulering er kommunens verktøy for å avklare planområde og arealbruk, bestemmelser og hensynssoner, samt overordnede rammer for lokalisering og utforming. Gjennom planprogram og konsekvensutredning avklares også miljø- og samfunnshensyn. Områderegulering etter plan- og bygningsloven omfatter krav til medvirkning og politisk behandling.</w:t>
              </w:r>
            </w:p>
            <w:p>
              <w:pPr>
                <w:spacing w:after="160"/>
              </w:pPr>
              <w:r>
                <w:t xml:space="preserve">Konsesjonsbehandlingen etter energiloven avklarer om energianlegget kan få tillatelse, hvilke vilkår som skal gjelde for bygging og drift, samt tekniske og driftsmessige forhold. Konsesjonsbehandlingen omfatter også energifaglige vurderinger og nettilknytning. For Lanner er det presisert i planinitiativet at nettilknytning ikke avklares etter plan- og bygningsloven, men omsøkes etter energiloven og inngår i konsesjonsprosessen.</w:t>
              </w:r>
            </w:p>
            <w:p>
              <w:pPr>
                <w:spacing w:after="160"/>
              </w:pPr>
              <w:r>
                <w:t xml:space="preserve">Kommunen har et betydelig politisk handlingsrom gjennom planprosessen, og kan velge å stanse eller videreføre planinitiativet hver gang saken legges frem for det politiske organ for et beslutningsvedtak. Først ut er den prinsipielle avklaringen i denne saken, hvor et ev. vedtak om å videreføre dagens arealbruk i kommuneplanens arealdel stanser planinitiativet om et vindkraftanlegg på Lanner. Videre skal det fattes vedtak ved høring og fastsetting av planprogrammet (i UMB, og ev. bystyret), vedtak ved 1.gangsbehandling av planforslaget (i UMB), og til slutt endelig planvedtak ved 2.gangsbehandling (i UMB) og sluttbehandling i bystyret. </w:t>
              </w:r>
            </w:p>
            <w:p>
              <w:pPr>
                <w:spacing w:after="160"/>
              </w:pPr>
              <w:r>
                <w:t xml:space="preserve">Prinsippavklaringen er ikke et ja til utbygging, men et ja til å utrede og avklare spørsmålet gjennom ordinær planprosess med offentlighet og medvirkning.</w:t>
              </w:r>
            </w:p>
            <w:p>
              <w:pPr>
                <w:spacing w:after="160"/>
              </w:pPr>
              <w:r>
                <w:rPr>
                  <w:i/>
                </w:rPr>
                <w:t xml:space="preserve">Tabell: forenklet prosessoversikt:</w:t>
              </w:r>
            </w:p>
            <w:tbl>
              <w:tblPr>
                <w:tblStyle w:val="TableGrid"/>
                <w:tblW w:w="0" w:type="auto"/>
                <w:tblLook w:firstRow="false" w:lastRow="false" w:firstColumn="false" w:lastColumn="false"/>
              </w:tblPr>
              <w:tblGrid>
                <w:gridCol/>
                <w:gridCol/>
                <w:gridCol/>
              </w:tblGrid>
              <w:tr>
                <w:trPr>
                  <w:tblCellSpacing w:w="0" w:type="dxa"/>
                </w:trPr>
                <w:tc>
                  <w:tcPr>
                    <w:vAlign w:val="center"/>
                  </w:tcPr>
                  <w:p>
                    <w:pPr>
                      <w:spacing w:after="160"/>
                    </w:pPr>
                    <w:r>
                      <w:t xml:space="preserve">1</w:t>
                    </w:r>
                  </w:p>
                </w:tc>
                <w:tc>
                  <w:tcPr>
                    <w:vAlign w:val="center"/>
                  </w:tcPr>
                  <w:p>
                    <w:pPr>
                      <w:spacing w:after="160"/>
                    </w:pPr>
                    <w:r>
                      <w:t xml:space="preserve">Prinsippsak</w:t>
                    </w:r>
                  </w:p>
                </w:tc>
                <w:tc>
                  <w:tcPr>
                    <w:vAlign w:val="center"/>
                  </w:tcPr>
                  <w:p>
                    <w:pPr>
                      <w:spacing w:after="160"/>
                    </w:pPr>
                    <w:r>
                      <w:rPr>
                        <w:b/>
                      </w:rPr>
                      <w:t xml:space="preserve">Politisk vedtak</w:t>
                    </w:r>
                    <w:r>
                      <w:t xml:space="preserve"> som avklarer retning, rammer og grad av samordning med NVE / ikke åpne for prosess</w:t>
                    </w:r>
                  </w:p>
                </w:tc>
              </w:tr>
              <w:tr>
                <w:trPr>
                  <w:tblCellSpacing w:w="0" w:type="dxa"/>
                </w:trPr>
                <w:tc>
                  <w:tcPr>
                    <w:vAlign w:val="center"/>
                  </w:tcPr>
                  <w:p>
                    <w:pPr>
                      <w:spacing w:after="160"/>
                    </w:pPr>
                    <w:r>
                      <w:t xml:space="preserve">2</w:t>
                    </w:r>
                  </w:p>
                </w:tc>
                <w:tc>
                  <w:tcPr>
                    <w:vAlign w:val="center"/>
                  </w:tcPr>
                  <w:p>
                    <w:pPr>
                      <w:spacing w:after="160"/>
                    </w:pPr>
                    <w:r>
                      <w:t xml:space="preserve">Oppstartsmøte</w:t>
                    </w:r>
                  </w:p>
                </w:tc>
                <w:tc>
                  <w:tcPr>
                    <w:vAlign w:val="center"/>
                  </w:tcPr>
                  <w:p>
                    <w:pPr>
                      <w:spacing w:after="160"/>
                    </w:pPr>
                    <w:r>
                      <w:t xml:space="preserve">Kommunens planavdeling + forslagsstiller, eventuelt NVE</w:t>
                    </w:r>
                  </w:p>
                </w:tc>
              </w:tr>
              <w:tr>
                <w:trPr>
                  <w:tblCellSpacing w:w="0" w:type="dxa"/>
                </w:trPr>
                <w:tc>
                  <w:tcPr>
                    <w:vAlign w:val="center"/>
                  </w:tcPr>
                  <w:p>
                    <w:pPr>
                      <w:spacing w:after="160"/>
                    </w:pPr>
                    <w:r>
                      <w:t xml:space="preserve">3</w:t>
                    </w:r>
                  </w:p>
                </w:tc>
                <w:tc>
                  <w:tcPr>
                    <w:vAlign w:val="center"/>
                  </w:tcPr>
                  <w:p>
                    <w:pPr>
                      <w:spacing w:after="160"/>
                    </w:pPr>
                    <w:r>
                      <w:t xml:space="preserve">Varsel om oppstart + forslag til planprogram</w:t>
                    </w:r>
                  </w:p>
                </w:tc>
                <w:tc>
                  <w:tcPr>
                    <w:vAlign w:val="center"/>
                  </w:tcPr>
                  <w:p>
                    <w:pPr>
                      <w:spacing w:after="160"/>
                    </w:pPr>
                    <w:r>
                      <w:t xml:space="preserve">Informasjon og varsling til berørte og offentlighet.</w:t>
                    </w:r>
                  </w:p>
                </w:tc>
              </w:tr>
              <w:tr>
                <w:trPr>
                  <w:tblCellSpacing w:w="0" w:type="dxa"/>
                </w:trPr>
                <w:tc>
                  <w:tcPr>
                    <w:vAlign w:val="center"/>
                  </w:tcPr>
                  <w:p>
                    <w:pPr>
                      <w:spacing w:after="160"/>
                    </w:pPr>
                    <w:r>
                      <w:t xml:space="preserve">4</w:t>
                    </w:r>
                  </w:p>
                </w:tc>
                <w:tc>
                  <w:tcPr>
                    <w:vAlign w:val="center"/>
                  </w:tcPr>
                  <w:p>
                    <w:pPr>
                      <w:spacing w:after="160"/>
                    </w:pPr>
                    <w:r>
                      <w:t xml:space="preserve">Fastsetting av planprogram</w:t>
                    </w:r>
                  </w:p>
                </w:tc>
                <w:tc>
                  <w:tcPr>
                    <w:vAlign w:val="center"/>
                  </w:tcPr>
                  <w:p>
                    <w:pPr>
                      <w:spacing w:after="160"/>
                    </w:pPr>
                    <w:r>
                      <w:rPr>
                        <w:b/>
                      </w:rPr>
                      <w:t xml:space="preserve">Politisk vedtak</w:t>
                    </w:r>
                    <w:r>
                      <w:t xml:space="preserve"> om hva som skal utredes og hvordan medvirkning skal skje / ikke fastsette</w:t>
                    </w:r>
                  </w:p>
                </w:tc>
              </w:tr>
              <w:tr>
                <w:trPr>
                  <w:tblCellSpacing w:w="0" w:type="dxa"/>
                </w:trPr>
                <w:tc>
                  <w:tcPr>
                    <w:vAlign w:val="center"/>
                  </w:tcPr>
                  <w:p>
                    <w:pPr>
                      <w:spacing w:after="160"/>
                    </w:pPr>
                    <w:r>
                      <w:t xml:space="preserve">5</w:t>
                    </w:r>
                  </w:p>
                </w:tc>
                <w:tc>
                  <w:tcPr>
                    <w:vAlign w:val="center"/>
                  </w:tcPr>
                  <w:p>
                    <w:pPr>
                      <w:spacing w:after="160"/>
                    </w:pPr>
                    <w:r>
                      <w:t xml:space="preserve">Konsekvensutredning + utarbeiding av planforslag</w:t>
                    </w:r>
                  </w:p>
                </w:tc>
                <w:tc>
                  <w:tcPr>
                    <w:vAlign w:val="center"/>
                  </w:tcPr>
                  <w:p>
                    <w:pPr>
                      <w:spacing w:after="160"/>
                    </w:pPr>
                    <w:r>
                      <w:t xml:space="preserve">Fag- og temautredninger og dialog underveis</w:t>
                    </w:r>
                  </w:p>
                </w:tc>
              </w:tr>
              <w:tr>
                <w:trPr>
                  <w:tblCellSpacing w:w="0" w:type="dxa"/>
                </w:trPr>
                <w:tc>
                  <w:tcPr>
                    <w:vAlign w:val="center"/>
                  </w:tcPr>
                  <w:p>
                    <w:pPr>
                      <w:spacing w:after="160"/>
                    </w:pPr>
                    <w:r>
                      <w:t xml:space="preserve">6</w:t>
                    </w:r>
                  </w:p>
                </w:tc>
                <w:tc>
                  <w:tcPr>
                    <w:vAlign w:val="center"/>
                  </w:tcPr>
                  <w:p>
                    <w:pPr>
                      <w:spacing w:after="160"/>
                    </w:pPr>
                    <w:r>
                      <w:t xml:space="preserve">1.gangsbehandling av planforslag</w:t>
                    </w:r>
                  </w:p>
                </w:tc>
                <w:tc>
                  <w:tcPr>
                    <w:vAlign w:val="center"/>
                  </w:tcPr>
                  <w:p>
                    <w:pPr>
                      <w:spacing w:after="160"/>
                    </w:pPr>
                    <w:r>
                      <w:rPr>
                        <w:b/>
                      </w:rPr>
                      <w:t xml:space="preserve">Politisk vurdering</w:t>
                    </w:r>
                    <w:r>
                      <w:t xml:space="preserve">: sende på høring / endre / stoppe</w:t>
                    </w:r>
                  </w:p>
                </w:tc>
              </w:tr>
              <w:tr>
                <w:trPr>
                  <w:tblCellSpacing w:w="0" w:type="dxa"/>
                </w:trPr>
                <w:tc>
                  <w:tcPr>
                    <w:vAlign w:val="center"/>
                  </w:tcPr>
                  <w:p>
                    <w:pPr>
                      <w:spacing w:after="160"/>
                    </w:pPr>
                    <w:r>
                      <w:t xml:space="preserve">7</w:t>
                    </w:r>
                  </w:p>
                </w:tc>
                <w:tc>
                  <w:tcPr>
                    <w:vAlign w:val="center"/>
                  </w:tcPr>
                  <w:p>
                    <w:pPr>
                      <w:spacing w:after="160"/>
                    </w:pPr>
                    <w:r>
                      <w:t xml:space="preserve">Høring og offentlig ettersyn</w:t>
                    </w:r>
                  </w:p>
                </w:tc>
                <w:tc>
                  <w:tcPr>
                    <w:vAlign w:val="center"/>
                  </w:tcPr>
                  <w:p>
                    <w:pPr>
                      <w:spacing w:after="160"/>
                    </w:pPr>
                    <w:r>
                      <w:t xml:space="preserve">Innspill fra innbyggere, organisasjoner og myndigheter</w:t>
                    </w:r>
                  </w:p>
                </w:tc>
              </w:tr>
              <w:tr>
                <w:trPr>
                  <w:tblCellSpacing w:w="0" w:type="dxa"/>
                </w:trPr>
                <w:tc>
                  <w:tcPr>
                    <w:vAlign w:val="center"/>
                  </w:tcPr>
                  <w:p>
                    <w:pPr>
                      <w:spacing w:after="160"/>
                    </w:pPr>
                    <w:r>
                      <w:t xml:space="preserve">8</w:t>
                    </w:r>
                  </w:p>
                </w:tc>
                <w:tc>
                  <w:tcPr>
                    <w:vAlign w:val="center"/>
                  </w:tcPr>
                  <w:p>
                    <w:pPr>
                      <w:spacing w:after="160"/>
                    </w:pPr>
                    <w:r>
                      <w:t xml:space="preserve">Endelig planvedtak</w:t>
                    </w:r>
                  </w:p>
                </w:tc>
                <w:tc>
                  <w:tcPr>
                    <w:vAlign w:val="center"/>
                  </w:tcPr>
                  <w:p>
                    <w:pPr>
                      <w:spacing w:after="160"/>
                    </w:pPr>
                    <w:r>
                      <w:rPr>
                        <w:b/>
                      </w:rPr>
                      <w:t xml:space="preserve">Politisk planavklaring</w:t>
                    </w:r>
                    <w:r>
                      <w:t xml:space="preserve">: vedta planforslaget / vedta med endringer / avslå</w:t>
                    </w:r>
                  </w:p>
                </w:tc>
              </w:tr>
              <w:tr>
                <w:trPr>
                  <w:tblCellSpacing w:w="0" w:type="dxa"/>
                </w:trPr>
                <w:tc>
                  <w:tcPr>
                    <w:vAlign w:val="center"/>
                  </w:tcPr>
                  <w:p>
                    <w:pPr>
                      <w:spacing w:after="160"/>
                    </w:pPr>
                    <w:r>
                      <w:t xml:space="preserve">9</w:t>
                    </w:r>
                  </w:p>
                </w:tc>
                <w:tc>
                  <w:tcPr>
                    <w:vAlign w:val="center"/>
                  </w:tcPr>
                  <w:p>
                    <w:pPr>
                      <w:spacing w:after="160"/>
                    </w:pPr>
                    <w:r>
                      <w:t xml:space="preserve">Eventuell konsesjon (NVE)</w:t>
                    </w:r>
                  </w:p>
                </w:tc>
                <w:tc>
                  <w:tcPr>
                    <w:vAlign w:val="center"/>
                  </w:tcPr>
                  <w:p>
                    <w:pPr>
                      <w:spacing w:after="160"/>
                    </w:pPr>
                    <w:r>
                      <w:t xml:space="preserve">Behandling etter energiloven, forutsatt planavklaring</w:t>
                    </w:r>
                  </w:p>
                </w:tc>
              </w:tr>
            </w:tbl>
            <w:p>
              <w:pPr>
                <w:spacing w:after="160"/>
              </w:pPr>
              <w:r>
                <w:br/>
              </w:r>
              <w:r>
                <w:t xml:space="preserve"> </w:t>
              </w:r>
            </w:p>
            <w:p>
              <w:pPr>
                <w:spacing w:after="160"/>
              </w:pPr>
              <w:r>
                <w:rPr>
                  <w:b/>
                </w:rPr>
                <w:t xml:space="preserve">Utredningsbehov – planprogram og konsekvensutredning</w:t>
              </w:r>
            </w:p>
            <w:p>
              <w:pPr>
                <w:spacing w:after="160"/>
              </w:pPr>
              <w:r>
                <w:t xml:space="preserve">Dersom det åpnes for å utrede og avklare spørsmålet gjennom ordinær planprosess med offentlighet og medvirkning vil det gjennomføres et ordinært oppstartsmøte med forslagsstiller. Det er kommunens planavdeling som gjennomfører dette sammen med forslagsstiller (og NVE). Utredningsbehov og planprosess er tema som blir utdypet og avklart i slike møter. Saker om vindkraftanlegg på land skal konsekvensutredes (KU-pliktig) og planprogram skal utarbeides. Initiativet omtaler en rekke tema som må inngå i videre utredning. Kommunedirektøren legger til grunn at planprogrammet særlig må være presist på følgende tema:</w:t>
              </w:r>
            </w:p>
            <w:p>
              <w:pPr>
                <w:pStyle w:val="ListParagraph"/>
                <w:numPr>
                  <w:ilvl w:val="0"/>
                  <w:numId w:val="4"/>
                </w:numPr>
                <w:spacing w:after="160"/>
              </w:pPr>
              <w:r>
                <w:t xml:space="preserve">naturmangfold, herunder behov for oppdatert arts- og naturtypekartlegging</w:t>
              </w:r>
            </w:p>
            <w:p>
              <w:pPr>
                <w:pStyle w:val="ListParagraph"/>
                <w:numPr>
                  <w:ilvl w:val="0"/>
                  <w:numId w:val="4"/>
                </w:numPr>
                <w:spacing w:after="160"/>
              </w:pPr>
              <w:r>
                <w:t xml:space="preserve">landskap og fjernvirkning</w:t>
              </w:r>
            </w:p>
            <w:p>
              <w:pPr>
                <w:pStyle w:val="ListParagraph"/>
                <w:numPr>
                  <w:ilvl w:val="0"/>
                  <w:numId w:val="4"/>
                </w:numPr>
                <w:spacing w:after="160"/>
              </w:pPr>
              <w:r>
                <w:t xml:space="preserve">friluftsliv og rekreasjon</w:t>
              </w:r>
            </w:p>
            <w:p>
              <w:pPr>
                <w:pStyle w:val="ListParagraph"/>
                <w:numPr>
                  <w:ilvl w:val="0"/>
                  <w:numId w:val="4"/>
                </w:numPr>
                <w:spacing w:after="160"/>
              </w:pPr>
              <w:r>
                <w:t xml:space="preserve">kulturminner og kulturmiljø</w:t>
              </w:r>
            </w:p>
            <w:p>
              <w:pPr>
                <w:pStyle w:val="ListParagraph"/>
                <w:numPr>
                  <w:ilvl w:val="0"/>
                  <w:numId w:val="4"/>
                </w:numPr>
                <w:spacing w:after="160"/>
              </w:pPr>
              <w:r>
                <w:t xml:space="preserve">vannmiljø og hydrologi</w:t>
              </w:r>
            </w:p>
            <w:p>
              <w:pPr>
                <w:pStyle w:val="ListParagraph"/>
                <w:numPr>
                  <w:ilvl w:val="0"/>
                  <w:numId w:val="4"/>
                </w:numPr>
                <w:spacing w:after="160"/>
              </w:pPr>
              <w:r>
                <w:t xml:space="preserve">støy, skyggekast, iskast og hinderlys</w:t>
              </w:r>
            </w:p>
            <w:p>
              <w:pPr>
                <w:pStyle w:val="ListParagraph"/>
                <w:numPr>
                  <w:ilvl w:val="0"/>
                  <w:numId w:val="4"/>
                </w:numPr>
                <w:spacing w:after="160"/>
              </w:pPr>
              <w:r>
                <w:t xml:space="preserve">transport, adkomst og anleggsfase</w:t>
              </w:r>
            </w:p>
            <w:p>
              <w:pPr>
                <w:pStyle w:val="ListParagraph"/>
                <w:numPr>
                  <w:ilvl w:val="0"/>
                  <w:numId w:val="4"/>
                </w:numPr>
                <w:spacing w:after="160"/>
              </w:pPr>
              <w:r>
                <w:t xml:space="preserve">samfunnssikkerhet og naturfare</w:t>
              </w:r>
            </w:p>
            <w:p>
              <w:pPr>
                <w:pStyle w:val="ListParagraph"/>
                <w:numPr>
                  <w:ilvl w:val="0"/>
                  <w:numId w:val="4"/>
                </w:numPr>
                <w:spacing w:after="160"/>
              </w:pPr>
              <w:r>
                <w:rPr>
                  <w:i/>
                </w:rPr>
                <w:t xml:space="preserve">listen er ikke uttømmende</w:t>
              </w:r>
            </w:p>
            <w:p>
              <w:pPr>
                <w:spacing w:after="160"/>
              </w:pPr>
              <w:r>
                <w:t xml:space="preserve">Planinitiativet viser til flere forhold som kan gi krevende avveininger, blant annet registrerte naturtyper med stor verdi, rødlistede arter, kulturminner i og rundt området, viktige friluftsområder og vannforekomster i influensområdet. Kommunedirektøren legger derfor til grunn at planprogrammet må være presist, og at prosessen må ha høy grad av åpenhet og politisk styring. Viljeserklæringen understøtter dette ved å vise til at kommunen kan fastsette overordnede arealmessige forutsetninger som er relevante for spørsmålet om framtidig utbygging er akseptabelt eller ikke.</w:t>
              </w:r>
            </w:p>
            <w:p>
              <w:pPr>
                <w:spacing w:after="160"/>
              </w:pPr>
              <w:r>
                <w:t xml:space="preserve"> </w:t>
              </w:r>
            </w:p>
            <w:p>
              <w:pPr>
                <w:spacing w:after="160"/>
              </w:pPr>
              <w:r>
                <w:rPr>
                  <w:b/>
                </w:rPr>
                <w:t xml:space="preserve">Kommunedirektørens vurdering og innstilling</w:t>
              </w:r>
            </w:p>
            <w:p>
              <w:pPr>
                <w:spacing w:after="160"/>
              </w:pPr>
              <w:r>
                <w:t xml:space="preserve">Saken berører flere tema som kan gi betydelige avveininger, særlig knyttet til naturmangfold, landskap og friluftsliv, kulturminner og vannmiljø. Kommunedirektøren er kjent med at det innenfor planområdet er registrerte naturtyper med stor verdi, rødlistede arter, kulturminner og at planområdet ligger i/tett på viktige friluftsområder og vannforekomster. En sentral grunn til at saken fremmes som prinsippsak er at det foreslåtte området i hovedsak er LNF-areal i kommuneplanens arealdel, og at et eventuelt vindkraftanlegg derfor vil forutsette nye planavklaringer utover dagens arealbruk. Dette tilsier at spørsmålet om videre prosess bør forankres politisk før planarbeidet eventuelt settes i gang.</w:t>
              </w:r>
            </w:p>
            <w:p>
              <w:pPr>
                <w:spacing w:after="160"/>
              </w:pPr>
              <w:r>
                <w:t xml:space="preserve">Sakens kompleksitet medfører en mer omfattende beskrivelse og vurdering enn i mer ordinære prinsipielle saker om arealbruk. Kommunedirektøren har derfor særlig utdypet beskrivelse av prosess, roller, medvirkning og politisk handlingsrom. Det tilsier også at forhold som framheves i planinitiativet, herunder sambruk av infrastruktur, mulig bidrag til kraftproduksjon og økonomiske virkninger, må vurderes kritisk og belyses gjennom det videre utredningsarbeidet. Prinsippavklaringen innebærer ikke forhåndsgodkjenning. Eventuelt standpunkt til om vindkraft kan etableres tas ved senere planbehandling og eventuelt planvedtak, på grunnlag av konsekvensutredning, høringsinnspill og politiske avveininger.</w:t>
              </w:r>
            </w:p>
            <w:p>
              <w:pPr>
                <w:spacing w:after="160"/>
              </w:pPr>
              <w:r>
                <w:t xml:space="preserve">Kommunedirektøren viser til viljeserklæringen, og innstiller med dette som utgangpunkt å åpne for videre planprosess for et vindkraftanlegg på Lanner. Et slikt vedtak betyr at tiltaket kan utredes og avklares gjennom ordinær planprosess med planprogram, konsekvensutredning og bred medvirkning. Kommunedirektøren legger til grunn at viljeserklæringen for fornybar kraft er et politisk bakteppe for betydningen av fornybar energi og kommunal styring i saker om energi generelt, ikke en beslutning til det konkrete Lanner-initiativet.</w:t>
              </w:r>
            </w:p>
            <w:p>
              <w:pPr>
                <w:spacing w:after="160"/>
              </w:pPr>
              <w:r>
                <w:t xml:space="preserve"> </w:t>
              </w:r>
            </w:p>
            <w:p>
              <w:pPr>
                <w:spacing w:after="160"/>
              </w:pPr>
              <w:r>
                <w:t xml:space="preserve"> </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Lanner vindkraftverk - fremsendelse planinitiativ og anmodning om oppstartsmøte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Veileder_Planlegging og konsesjonsbehandling av vindkraftanlegg på land</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Viljeserklæring_fornybar kraft i Porsgrunn kommune_saksframlegg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Viljeserklæring_fornybar kraft i Porsgrunn_vedtak BYST_sak 9_23</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Rapport_Ny energiproduksjon og energieffektivisering i Grenland_Norconsult 2025</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1142d15941ea4d72" /><Relationship Type="http://schemas.openxmlformats.org/officeDocument/2006/relationships/hyperlink" Target="https://lovdata.no/dokument/NL/lov/2008-06-27-71" TargetMode="External" Id="Rbf3b4c868c0a466c" /><Relationship Type="http://schemas.openxmlformats.org/officeDocument/2006/relationships/hyperlink" Target="https://www.regjeringen.no/no/dokumenter/nasjonale-forventninger-til-regional-og-kommunal-planlegging-20232027/id2985764/" TargetMode="External" Id="R882a868eaccd4b11" /><Relationship Type="http://schemas.openxmlformats.org/officeDocument/2006/relationships/hyperlink" Target="https://lovdata.no/dokument/LTI/forskrift/2025-01-24-69" TargetMode="External" Id="R18527e37197a4c53" /><Relationship Type="http://schemas.openxmlformats.org/officeDocument/2006/relationships/hyperlink" Target="https://lovdata.no/dokument/SF/forskrift/2024-12-20-3359" TargetMode="External" Id="R2d5e6a00611b472a" /><Relationship Type="http://schemas.openxmlformats.org/officeDocument/2006/relationships/hyperlink" Target="https://www.regjeringen.no/contentassets/92fad1038d8344eabd8bdf5a5dc2d3e1/rundskriv-m-12025-nasjonale-og-vesentlege-regionale-int1306581.pdf" TargetMode="External" Id="R4a8d1b09493147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Lanner vindkraftverk - prinsipiell avklaring av arealbruk i kommuneplanens arealdel</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