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26/9380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Morten Ødegaard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06.08.2026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Rapportering investeringsprosjekter Helse og Omsorg 05/26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helse og omsorg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Eldrerådet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Råd for personer med funksjonsnedsettelse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Rapportering på større investeringsprosjekter, slik det framgår av saken, tas til orientering.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Det rapporteres på investeringsprosjekter til relevant utvalg ut ifra det tjenesteområde prosjektet sorterer under. Siste rapport ble gitt i møte 26.05.2026, orienteringssak 10/26.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Rapport enkeltprosjekter:</w:t>
              </w:r>
            </w:p>
            <w:p>
              <w:pPr>
                <w:spacing w:after="160"/>
              </w:pPr>
              <w:r>
                <w:t xml:space="preserve">I figurene under er det angitt følgende beslutningspunkter:</w:t>
              </w:r>
            </w:p>
            <w:p>
              <w:pPr>
                <w:spacing w:after="160"/>
              </w:pPr>
              <w:r>
                <w:t xml:space="preserve">·       B0 – bestilling (administrativt)</w:t>
              </w:r>
            </w:p>
            <w:p>
              <w:pPr>
                <w:spacing w:after="160"/>
              </w:pPr>
              <w:r>
                <w:t xml:space="preserve">·       B1 – konseptvalg (politisk)</w:t>
              </w:r>
            </w:p>
            <w:p>
              <w:pPr>
                <w:spacing w:after="160"/>
              </w:pPr>
              <w:r>
                <w:t xml:space="preserve">·       B2 – bevilgning (politisk)</w:t>
              </w:r>
            </w:p>
            <w:p>
              <w:pPr>
                <w:spacing w:after="160"/>
              </w:pPr>
              <w:r>
                <w:t xml:space="preserve">·       B3 – overlevering (administrativt)</w:t>
              </w:r>
            </w:p>
            <w:p>
              <w:pPr>
                <w:spacing w:after="160"/>
              </w:pPr>
              <w:r>
                <w:t xml:space="preserve">·       B4 – avslutning (politisk)</w:t>
              </w: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Helse og omsorgsutbygging trinn 3 – Mule/ Ny legevakt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Andre byggetrinn på Mule. Gjennomføre trinn 3 i utbyggingsplanen for sykehjemsplasser i Porsgrunn. Etablering av felles legevakt for Bamble og Porsgrunn kommuner.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Bygging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504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513 MNOK (HP 2026 – 2029)</w:t>
                    </w:r>
                  </w:p>
                </w:tc>
                <w:tc>
                  <w:tcPr>
                    <w:tcW w:w="436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 513 MNOK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Detaljprosjektering, grunnarbeider og fundamentering ferdig. Betongarbeid og montering av massivtre pågår. Arbeidene er i tråd med gjeldende framdriftsplan.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762625" cy="1447800"/>
                          <wp:effectExtent l="19050" t="0" r="0" b="0"/>
                          <wp:docPr id="4" name="Picture 2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2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74d94307f93e4ab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62625" cy="1447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rHeight w:val="320" w:hRule="atLeast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Kontrakt er inngått innenfor investeringsramme gitt i B2.</w:t>
                    </w:r>
                  </w:p>
                  <w:p>
                    <w:pPr>
                      <w:spacing w:after="160"/>
                    </w:pPr>
                    <w:r>
                      <w:t xml:space="preserve">Delutbetaling (40 %) av investeringstilskudd fra Husbanken er mottatt.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spesielle forhold.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</w:t>
                    </w:r>
                  </w:p>
                </w:tc>
              </w:tr>
            </w:tbl>
            <w:p>
              <w:pPr>
                <w:spacing w:after="160"/>
              </w:pP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Tilrettelagte boliger for mennesker med rus/ ROP utfordringer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Etablering av 4 kompakte boenheter med personalbase og døgnbemanning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Bygging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492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34 MNOK (HP 2025 – 2028, med justering 1. tertialrapport 2025)</w:t>
                    </w:r>
                  </w:p>
                </w:tc>
                <w:tc>
                  <w:tcPr>
                    <w:tcW w:w="446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 34 MNOK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Sluttoppgjør er ferdig. Oppstart drift som planlagt fra 01.06.2026.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753100" cy="1504950"/>
                          <wp:effectExtent l="19050" t="0" r="0" b="0"/>
                          <wp:docPr id="5" name="Picture 3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3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8c019285285e48b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53100" cy="15049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rHeight w:val="320" w:hRule="atLeast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Det er avklart at staten kommer til å dekke drøyt 50 % av driftskostnadene for tiltaket, herunder også finanskostnader. Dette vil ha konsekvenser for utmålt investeringstilskudd fra Husbanken og MVA-kompensasjon, slik at kommunen lånefinansiering må økes. Detaljene rundt dette blir lagt fram i sluttregnskapet (B4).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spesielle forhold.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 Rapportering på dette prosjektet avsluttes.</w:t>
                    </w:r>
                  </w:p>
                </w:tc>
              </w:tr>
            </w:tbl>
            <w:p>
              <w:pPr>
                <w:spacing w:after="160"/>
              </w:pP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Omsorgsboliger på Stridsklev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Etablering av omsorgsboliger med personalbase og døgnbemanning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Planlegging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492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100 MNOK (HP 2026 – 2029)</w:t>
                    </w:r>
                  </w:p>
                </w:tc>
                <w:tc>
                  <w:tcPr>
                    <w:tcW w:w="446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 100 MNOK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Forhandling om kjøp av tomt er ferdig. Sak om kjøp av tomt, anbefalt omfang i forhold til antall boliger og øvrige tilbud, samt strategi for videre gjennomføring fremmes i dette møtet.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753100" cy="1933575"/>
                          <wp:effectExtent l="19050" t="0" r="0" b="0"/>
                          <wp:docPr id="6" name="Picture 4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fe88fa255b5f4b8c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53100" cy="19335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rHeight w:val="320" w:hRule="atLeast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Det anbefalte innholdet i prosjektet går betydelig utover den budsjetterte kostnadsrammen.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spesielle forhold.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</w:t>
                    </w:r>
                  </w:p>
                </w:tc>
              </w:tr>
            </w:tbl>
            <w:p>
              <w:pPr>
                <w:spacing w:after="160"/>
              </w:pP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2 Småhus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Nye småhus lokalisert i nærheten av eksisterende tjenester innen rus/ psykiatri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Utredning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492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10 MNOK (HP 2026 – 2029)</w:t>
                    </w:r>
                  </w:p>
                </w:tc>
                <w:tc>
                  <w:tcPr>
                    <w:tcW w:w="446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 10 MNOK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Egnet lokasjon er funnet, og utfordringer knyttet til naturmangfold er avklart. Sak B1 fremmes i dette møtet.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762625" cy="1562100"/>
                          <wp:effectExtent l="19050" t="0" r="0" b="0"/>
                          <wp:docPr id="7" name="Picture 5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5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925a99357eb749fe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62625" cy="15621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rHeight w:val="320" w:hRule="atLeast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Nærhet til bemanning vil innvirke på muligheten for investeringstilskudd fra Husbanken.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spesielle forhold.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</w:t>
                    </w:r>
                  </w:p>
                </w:tc>
              </w:tr>
            </w:tbl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image" Target="/media/image.jpg" Id="R74d94307f93e4ab5" /><Relationship Type="http://schemas.openxmlformats.org/officeDocument/2006/relationships/image" Target="/media/image2.jpg" Id="R8c019285285e48b3" /><Relationship Type="http://schemas.openxmlformats.org/officeDocument/2006/relationships/image" Target="/media/image3.jpg" Id="Rfe88fa255b5f4b8c" /><Relationship Type="http://schemas.openxmlformats.org/officeDocument/2006/relationships/image" Target="/media/image4.jpg" Id="R925a99357eb749fe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Rapportering investeringsprosjekter Helse og Omsorg 05/26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