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26/9665</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Morten Hagevik</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13.08.2026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Musikkterapeut i Porsgrunn kommune</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Råd for personer med funksjonsnedsettelse</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Eldrerådet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helse og omsorg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Flerkulturelt kontaktutvalg</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 </w:t>
                        </w:r>
                      </w:sdtContent>
                    </w:sdt>
                  </w:p>
                </w:tc>
              </w:tr>
            </w:tbl>
            <w:p w:rsidRPr="00853B6B" w:rsidR="002E12DF" w:rsidP="003E7097" w:rsidRDefault="00000000" w14:paraId="15136346" w14:textId="77777777"/>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Saken tas til orientering.</w:t>
              </w:r>
            </w:p>
          </w:sdtContent>
        </w:sdt>
        <w:p w:rsidR="00043C24" w:rsidP="003E7097" w:rsidRDefault="00043C24" w14:paraId="30E7DD88" w14:textId="77777777"/>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I bystyrets behandling av sak 166/25, Porsgrunn kommune budsjett 2026 - Handlingsprogram 2026-2029, ble det vedtatt et verbalforslag om å legge fram en sak som belyser hvordan musikkterapi kan brukes på tvers av helse og omsorg og BUK for å gi et godt tilbud til både unge og eldre i kommunen. </w:t>
              </w:r>
            </w:p>
            <w:p>
              <w:pPr>
                <w:spacing w:after="160"/>
              </w:pPr>
              <w:r>
                <w:t xml:space="preserve">Denne saken er utformet som en orienteringssak. Den beskriver fagfeltet, viser til eksisterende musikkrelaterte tiltak i kommunen og synliggjør mulige anvendelsesområder. Saken innebærer ikke beslutning om å etablere en ny tjeneste eller stilling. </w:t>
              </w:r>
            </w:p>
          </w:sdtContent>
        </w:sdt>
        <w:sdt>
          <w:sdtPr>
            <w:alias w:val="SaksTekst"/>
            <w:tag w:val="SaksTekst"/>
            <w:id w:val="-1309477531"/>
          </w:sdtPr>
          <w:sdtContent>
            <w:p>
              <w:pPr>
                <w:spacing w:after="160"/>
              </w:pPr>
              <w:r>
                <w:rPr>
                  <w:b/>
                </w:rPr>
                <w:t xml:space="preserve">Saksfremstilling</w:t>
              </w:r>
            </w:p>
            <w:p>
              <w:pPr>
                <w:spacing w:after="160"/>
              </w:pPr>
              <w:r>
                <w:rPr>
                  <w:b/>
                </w:rPr>
                <w:t xml:space="preserve">Kort om musikkterapi </w:t>
              </w:r>
            </w:p>
            <w:p>
              <w:pPr>
                <w:spacing w:after="160"/>
              </w:pPr>
              <w:r>
                <w:t xml:space="preserve">Musikkterapi er en faglig og relasjonsbasert praksis der en kvalifisert musikkterapeut bruker musikalsk samhandling for å fremme blant annet helse, mestring, kommunikasjon og sosial deltakelse. Fagfeltet brukes innen forebygging, behandling, rehabilitering og omsorg, og kan være relevant for barn, unge, voksne og eldre med ulike behov. Det vises forøvrig til vedlegget til saken.</w:t>
              </w:r>
            </w:p>
            <w:p>
              <w:pPr>
                <w:spacing w:after="160"/>
              </w:pPr>
              <w:r>
                <w:rPr>
                  <w:b/>
                </w:rPr>
                <w:t xml:space="preserve">Hva gjør kommunen allerede? </w:t>
              </w:r>
            </w:p>
            <w:p>
              <w:pPr>
                <w:spacing w:after="160"/>
              </w:pPr>
              <w:r>
                <w:t xml:space="preserve">Porsgrunn kommune har allerede flere tiltak der musikk, sang og kunstnerisk aktivitet brukes for å skape deltakelse, mestring, fellesskap og livskvalitet. Tiltakene er ikke nødvendigvis musikkterapi i faglig eller klinisk forstand, men de viser at kommunen har erfaring, arenaer og samarbeid som ligger nær flere av målsettingene i musikkterapifeltet. </w:t>
              </w:r>
            </w:p>
            <w:p>
              <w:pPr>
                <w:pStyle w:val="ListParagraph"/>
                <w:numPr>
                  <w:ilvl w:val="0"/>
                  <w:numId w:val="1"/>
                </w:numPr>
                <w:spacing w:after="160"/>
              </w:pPr>
              <w:r>
                <w:t xml:space="preserve">Den kulturelle Bæremeisen gir kunst- og kulturopplevelser til barnehagebarn. Musikk og sang inngår som del av tilbudet, og ordningen når barn på arenaer de allerede kjenner. </w:t>
              </w:r>
            </w:p>
            <w:p>
              <w:pPr>
                <w:pStyle w:val="ListParagraph"/>
                <w:numPr>
                  <w:ilvl w:val="0"/>
                  <w:numId w:val="1"/>
                </w:numPr>
                <w:spacing w:after="160"/>
              </w:pPr>
              <w:r>
                <w:t xml:space="preserve">Demenskoret Porsblomstene bruker sang som ramme for mestring, språkstimulering og sosialt fellesskap for mennesker med demens og deres pårørende. </w:t>
              </w:r>
            </w:p>
            <w:p>
              <w:pPr>
                <w:pStyle w:val="ListParagraph"/>
                <w:numPr>
                  <w:ilvl w:val="0"/>
                  <w:numId w:val="1"/>
                </w:numPr>
                <w:spacing w:after="160"/>
              </w:pPr>
              <w:r>
                <w:t xml:space="preserve">Den kulturelle Spaserstokken bringer kunst- og kulturopplevelser til eldre, blant annet til beboere på sykehjem som i mindre grad kan oppsøke ordinære kulturarenaer. </w:t>
              </w:r>
            </w:p>
            <w:p>
              <w:pPr>
                <w:pStyle w:val="ListParagraph"/>
                <w:numPr>
                  <w:ilvl w:val="0"/>
                  <w:numId w:val="1"/>
                </w:numPr>
                <w:spacing w:after="160"/>
              </w:pPr>
              <w:r>
                <w:t xml:space="preserve">Kulturskolen deltar i og utvikler tilrettelagte musikkaktiviteter, blant annet musikkstunder i barnehager, aktivitet ved Maristien barnehage avdeling Kastanje, og har tidligere deltatt i MIKS/Fargespill, konserter for eldre og kor i voksenopplæringen. </w:t>
              </w:r>
            </w:p>
            <w:p>
              <w:pPr>
                <w:pStyle w:val="ListParagraph"/>
                <w:numPr>
                  <w:ilvl w:val="0"/>
                  <w:numId w:val="1"/>
                </w:numPr>
                <w:spacing w:after="160"/>
              </w:pPr>
              <w:r>
                <w:t xml:space="preserve">Kommunens kulturarenaer, skoler, barnehager og helse- og omsorgstjenester gir mulige arenaer for samarbeid om inkluderende musikkaktiviteter. </w:t>
              </w:r>
            </w:p>
            <w:p>
              <w:pPr>
                <w:spacing w:after="160"/>
              </w:pPr>
              <w:r>
                <w:rPr>
                  <w:b/>
                </w:rPr>
                <w:t xml:space="preserve">Muligheter på tvers av tjenesteområder </w:t>
              </w:r>
            </w:p>
            <w:p>
              <w:pPr>
                <w:spacing w:after="160"/>
              </w:pPr>
              <w:r>
                <w:t xml:space="preserve">Kunnskapsgrunnlaget viser at musikkterapeutisk kompetanse kan være relevant i skjæringspunktet mellom kultur, oppvekst og helse og mestring. Aktuelle målgrupper kan være personer med funksjonsnedsettelser, barn og unge med behov for tilrettelegging eller alternative mestringsarenaer, personer med psykiske helseutfordringer, og eldre med demens eller andre nevrologiske tilstander. </w:t>
              </w:r>
            </w:p>
            <w:p>
              <w:pPr>
                <w:spacing w:after="160"/>
              </w:pPr>
              <w:r>
                <w:t xml:space="preserve">En eventuell senere vurdering av nye tiltak må avklare målgrupper, faglig innretning, organisering, finansiering og forholdet til eksisterende tilbud. Dette må i så fall behandles i ordinære plan- og budsjettprosesser. </w:t>
              </w:r>
            </w:p>
            <w:p>
              <w:pPr>
                <w:spacing w:after="160"/>
              </w:pPr>
              <w:r>
                <w:rPr>
                  <w:b/>
                </w:rPr>
                <w:t xml:space="preserve">Strategisk relevans </w:t>
              </w:r>
            </w:p>
            <w:p>
              <w:pPr>
                <w:spacing w:after="160"/>
              </w:pPr>
              <w:r>
                <w:t xml:space="preserve">Temaet har sammenheng med kommunens mål om livsmestring og fellesskap, forebygging, inkludering og mer helhetlige tjenester. Eksisterende tiltak viser samtidig at musikk allerede brukes som virkemiddel på tvers av alder og tjenesteområder. </w:t>
              </w:r>
            </w:p>
            <w:p>
              <w:pPr>
                <w:spacing w:after="160"/>
              </w:pPr>
              <w:r>
                <w:rPr>
                  <w:b/>
                </w:rPr>
                <w:t xml:space="preserve">Kommunedirektørens vurdering </w:t>
              </w:r>
            </w:p>
            <w:p>
              <w:pPr>
                <w:spacing w:after="160"/>
              </w:pPr>
              <w:r>
                <w:t xml:space="preserve">Kommunedirektøren vurderer at musikk og musikkterapeutiske arbeidsmåter kan ha verdi i kommunens forebyggende og inkluderende arbeid. Samtidig er det viktig å skille mellom musikkrelaterte kultur- og aktivitetstilbud og musikkterapi som faglig tjeneste utført av kvalifisert musikkterapeut. </w:t>
              </w:r>
            </w:p>
            <w:p>
              <w:pPr>
                <w:spacing w:after="160"/>
              </w:pPr>
              <w:r>
                <w:t xml:space="preserve">Saken gir et samlet kunnskapsgrunnlag og en oversikt over relevante lokale erfaringer. Den foreslår ikke etablering av en ny stilling eller tjeneste nå. Eventuelle nye tiltak må vurderes opp mot behov, faglige prioriteringer og økonomisk handlingsrom i senere plan- og budsjettprosesser.</w:t>
              </w:r>
            </w:p>
            <w:p>
              <w:pPr>
                <w:spacing w:after="160"/>
              </w:pPr>
              <w:r>
                <w:rPr>
                  <w:b/>
                </w:rPr>
                <w:t xml:space="preserve">Effekten av saken </w:t>
              </w:r>
              <w:r>
                <w:br/>
              </w:r>
              <w:r>
                <w:t xml:space="preserve"> </w:t>
              </w:r>
            </w:p>
            <w:tbl>
              <w:tblPr>
                <w:tblStyle w:val="TableGrid"/>
                <w:tblW w:w="9000" w:type="dxa"/>
                <w:tblLayout w:type="fixed"/>
                <w:tblLook w:firstRow="true" w:lastRow="false" w:firstColumn="false" w:lastColumn="false"/>
              </w:tblPr>
              <w:tblGrid>
                <w:gridCol w:w="4434.3"/>
                <w:gridCol w:w="1084.5"/>
                <w:gridCol w:w="1067.4"/>
                <w:gridCol w:w="1009.8"/>
                <w:gridCol w:w="1404"/>
              </w:tblGrid>
              <w:tr>
                <w:trPr>
                  <w:tblCellSpacing w:w="0" w:type="dxa"/>
                </w:trPr>
                <w:tc>
                  <w:tcPr>
                    <w:vAlign w:val="center"/>
                  </w:tcPr>
                  <w:p>
                    <w:pPr>
                      <w:spacing w:after="160"/>
                    </w:pPr>
                    <w:r>
                      <w:t xml:space="preserve">Perspektiv</w:t>
                    </w:r>
                  </w:p>
                </w:tc>
                <w:tc>
                  <w:tcPr>
                    <w:vAlign w:val="center"/>
                  </w:tcPr>
                  <w:p>
                    <w:pPr>
                      <w:spacing w:after="160"/>
                    </w:pPr>
                    <w:r>
                      <w:t xml:space="preserve">Negativ</w:t>
                    </w:r>
                  </w:p>
                </w:tc>
                <w:tc>
                  <w:tcPr>
                    <w:vAlign w:val="center"/>
                  </w:tcPr>
                  <w:p>
                    <w:pPr>
                      <w:spacing w:after="160"/>
                    </w:pPr>
                    <w:r>
                      <w:t xml:space="preserve">Nøytral </w:t>
                    </w:r>
                  </w:p>
                </w:tc>
                <w:tc>
                  <w:tcPr>
                    <w:vAlign w:val="center"/>
                  </w:tcPr>
                  <w:p>
                    <w:pPr>
                      <w:spacing w:after="160"/>
                    </w:pPr>
                    <w:r>
                      <w:t xml:space="preserve">Positiv</w:t>
                    </w:r>
                  </w:p>
                </w:tc>
                <w:tc>
                  <w:tcPr>
                    <w:vAlign w:val="center"/>
                  </w:tcPr>
                  <w:p>
                    <w:pPr>
                      <w:spacing w:after="160"/>
                    </w:pPr>
                    <w:r>
                      <w:t xml:space="preserve">Ikke relevant</w:t>
                    </w:r>
                  </w:p>
                </w:tc>
              </w:tr>
              <w:tr>
                <w:trPr>
                  <w:tblCellSpacing w:w="0" w:type="dxa"/>
                </w:trPr>
                <w:tc>
                  <w:tcPr>
                    <w:vAlign w:val="center"/>
                  </w:tcPr>
                  <w:p>
                    <w:pPr>
                      <w:spacing w:after="160"/>
                    </w:pPr>
                    <w:r>
                      <w:t xml:space="preserve">Konsekvens for klima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 herunder vurdering av tilpasning til aldersvennlig samfunn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806ce4304fef404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Musikkterapeut i Porsgrunn kommune</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