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26/9481</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Alf Ørjan Glesnes</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10.08.2026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Tjenesteavvik 2025 Helse og omsorg</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Kommunedirektøren leverer rapport på tjenesteavvik i kommunalområdet Helse og mestring, dette til utvalget for helse og omsorg årlig. Data er hentet fra interkontroll- og kvalitetssystemet «TQM», som kommunen tok i bruk i 2019. Formålet med rapporteringen er å synliggjøre avvik og uønskede hendelser som er rapportert og behandlet i løpet av 2025 og å vise til arbeid med kvalitetsforbedringer.</w:t>
              </w:r>
            </w:p>
          </w:sdtContent>
        </w:sdt>
        <w:sdt>
          <w:sdtPr>
            <w:alias w:val="SaksTekst"/>
            <w:tag w:val="SaksTekst"/>
            <w:id w:val="-1309477531"/>
          </w:sdtPr>
          <w:sdtContent>
            <w:p>
              <w:pPr>
                <w:spacing w:after="160"/>
              </w:pPr>
              <w:r>
                <w:rPr>
                  <w:b/>
                </w:rPr>
                <w:t xml:space="preserve">Saksfremstilling</w:t>
              </w:r>
            </w:p>
            <w:p>
              <w:pPr>
                <w:spacing w:after="160"/>
              </w:pPr>
              <w:r>
                <w:t xml:space="preserve">Saken belyser hvilke tjenesteavvik som er rapportert i helse- og omsorg i 2025, hvilke kategorier av tjenesteavvik som er mest fremtredende og utviklingen på omfang og antall i de ulike kategoriene. Utvalget av kategorier viser avvik og uønskede hendelser samlet, selv om det er ulikheter i definisjonen av avvik (brudd på lov, prosedyrer eller avtalte arbeidsmåter) eller enkelte hendelser som er oppfattet som uheldige uten at det foreligger et slikt brudd.</w:t>
              </w:r>
            </w:p>
            <w:p>
              <w:pPr>
                <w:spacing w:after="160"/>
              </w:pPr>
              <w:r>
                <w:t xml:space="preserve">Administrasjonen kommenterer fortløpende forbedringsarbeid knyttet til avvikene der dette er planlagt eller iverksatt.</w:t>
              </w:r>
            </w:p>
            <w:p>
              <w:pPr>
                <w:spacing w:after="160"/>
              </w:pPr>
              <w:r>
                <w:t xml:space="preserve">Statistikkgrunnlaget er hentet fra meldte avvik og uønskede hendelser fra alle områdene i kommunalområdet Helse og omsorg. Måleparametere for avvik og uønskede hendelser (senere omtalt som hendelser samlet sett) er inndelt i tre ulike området i internkontroll- og kvalitetssystemet:</w:t>
              </w:r>
            </w:p>
            <w:p>
              <w:pPr>
                <w:pStyle w:val="ListParagraph"/>
                <w:numPr>
                  <w:ilvl w:val="0"/>
                  <w:numId w:val="1"/>
                </w:numPr>
                <w:spacing w:after="160"/>
              </w:pPr>
              <w:r>
                <w:t xml:space="preserve">HMS</w:t>
              </w:r>
            </w:p>
            <w:p>
              <w:pPr>
                <w:pStyle w:val="ListParagraph"/>
                <w:numPr>
                  <w:ilvl w:val="0"/>
                  <w:numId w:val="1"/>
                </w:numPr>
                <w:spacing w:after="160"/>
              </w:pPr>
              <w:r>
                <w:t xml:space="preserve">Tjenestekvalitet</w:t>
              </w:r>
            </w:p>
            <w:p>
              <w:pPr>
                <w:pStyle w:val="ListParagraph"/>
                <w:numPr>
                  <w:ilvl w:val="0"/>
                  <w:numId w:val="1"/>
                </w:numPr>
                <w:spacing w:after="160"/>
              </w:pPr>
              <w:r>
                <w:t xml:space="preserve">Eiendom, utstyr og ytre miljø</w:t>
              </w:r>
            </w:p>
            <w:p>
              <w:pPr>
                <w:spacing w:after="160"/>
              </w:pPr>
              <w:r>
                <w:t xml:space="preserve">En enkelt hendelse kan knyttes til flere måleparametere, både i hver av de enkelte hovedområdene nevnt over og på tvers. I denne saken er det Tjenestekvalitet som er presentert med mindre annet er skrevet eksplisitt i tekst eller i graf, dette siden dette området historisk sett har vært fokuset i tidligere rapporter og gjør det det enklere å sammenligne mot tidligere år. Dette er også hovedkategorien som har flest hendelser knyttet til seg. Tall for 2024 i tekst og grafer er oppdatert, da det erfaringsmessig vil være noe etter-rapportering av hendelser. Tall for 2025 er innhentet juni 2026.</w:t>
              </w:r>
            </w:p>
            <w:p>
              <w:pPr>
                <w:spacing w:after="160"/>
              </w:pPr>
              <w:r>
                <w:rPr>
                  <w:b/>
                </w:rPr>
                <w:t xml:space="preserve">Helse og omsorg – Tjenesteavvik- og uønskede hendelser 2025</w:t>
              </w:r>
            </w:p>
            <w:p>
              <w:pPr>
                <w:spacing w:after="160"/>
              </w:pPr>
              <w:r>
                <w:drawing>
                  <wp:inline distT="0" distB="0" distL="0" distR="0">
                    <wp:extent cx="5343525" cy="293370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c78d5bacec2343f1"/>
                            <a:srcRect/>
                            <a:stretch>
                              <a:fillRect/>
                            </a:stretch>
                          </pic:blipFill>
                          <pic:spPr bwMode="auto">
                            <a:xfrm>
                              <a:off x="0" y="0"/>
                              <a:ext cx="5343525" cy="2933700"/>
                            </a:xfrm>
                            <a:prstGeom prst="rect">
                              <a:avLst/>
                            </a:prstGeom>
                          </pic:spPr>
                        </pic:pic>
                      </a:graphicData>
                    </a:graphic>
                  </wp:inline>
                </w:drawing>
              </w:r>
            </w:p>
            <w:p>
              <w:pPr>
                <w:spacing w:after="160"/>
              </w:pPr>
              <w:r>
                <w:t xml:space="preserve">Kommentar: Det skilles mellom tjeneste og bygg/utstyr. Bygg/utstyr fremstilles i egen farge fordi feil på utstyr, dårlig renhold og andre feil/mangler på bygg vil kunne påvirke tjenesteleveranse.</w:t>
              </w:r>
            </w:p>
            <w:p>
              <w:pPr>
                <w:spacing w:after="160"/>
              </w:pPr>
              <w:r>
                <w:rPr>
                  <w:b/>
                </w:rPr>
                <w:t xml:space="preserve">Alvorlighetsgrad og hendelsestype- fordeling for 2025</w:t>
              </w:r>
            </w:p>
            <w:p>
              <w:pPr>
                <w:spacing w:after="160"/>
              </w:pPr>
              <w:r>
                <w:drawing>
                  <wp:inline distT="0" distB="0" distL="0" distR="0">
                    <wp:extent cx="5762625" cy="238125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249507618aeb4cd7"/>
                            <a:srcRect/>
                            <a:stretch>
                              <a:fillRect/>
                            </a:stretch>
                          </pic:blipFill>
                          <pic:spPr bwMode="auto">
                            <a:xfrm>
                              <a:off x="0" y="0"/>
                              <a:ext cx="5762625" cy="2381250"/>
                            </a:xfrm>
                            <a:prstGeom prst="rect">
                              <a:avLst/>
                            </a:prstGeom>
                          </pic:spPr>
                        </pic:pic>
                      </a:graphicData>
                    </a:graphic>
                  </wp:inline>
                </w:drawing>
              </w:r>
            </w:p>
            <w:p>
              <w:pPr>
                <w:spacing w:after="160"/>
              </w:pPr>
              <w:r>
                <w:t xml:space="preserve">Figuren over til venstre viser fordelingen mellom meldte avvik og uønskede hendelser innenfor tjenestekvalitet, og til høyre fordelingen mellom lav, middels og høy alvorlighetsgrad samlet for begge hendelsestypene. Det er 160 avvik og uønskede hendelser med høy alvorlighetsgrad i 2025, mot 210 i 2024, noe som er en nedgang på 23,81% i antall.</w:t>
              </w:r>
            </w:p>
            <w:p>
              <w:pPr>
                <w:spacing w:after="160"/>
              </w:pPr>
              <w:r>
                <w:t xml:space="preserve">Sammenlignet med 2024 så er det en prosentvis nedgang i andelen med høy alvorlighetsgrad, 7,95% i 2024 mot 6,73% i 2025. Det er også ned nedgang prosentmessig i andelen middels alvorlighetsgrad (27,45% i 2024 mot 24,20% i 2025) og tilhørende en prosentmessig økning i andelen lav alvorlighetsgrad (64,60% i 2024 mot 69,07% i 2025).</w:t>
              </w:r>
            </w:p>
            <w:p>
              <w:pPr>
                <w:spacing w:after="160"/>
              </w:pPr>
              <w:r>
                <w:t xml:space="preserve">Alle avvik og uønskede hendelser som er meldt med høy alvorlighetsgrad er gjennomgått og det er hendelser som tilsier at pasienter og brukere har eller kan ha fått varige konsekvenser; Alle hendelser er behandlet i tråd med prosedyrer.</w:t>
              </w:r>
            </w:p>
            <w:p>
              <w:pPr>
                <w:spacing w:after="160"/>
              </w:pPr>
              <w:r>
                <w:t xml:space="preserve">Stortinget vedtok ny meldeordning for alvorlige hendelser i helse- og omsorgstjenesten som ble gjeldende fra 1.juli 2026; I tråd med dette er det det innført nye prosedyrer for håndtering av alvorlige hendelser – dette inkluderer også hendelsesanalyse ved alvorlige og komplekse hendelser, etter metodikk fra Helsedirektoratet.  </w:t>
              </w:r>
            </w:p>
            <w:p>
              <w:pPr>
                <w:spacing w:after="160"/>
              </w:pPr>
              <w:r>
                <w:t xml:space="preserve"> </w:t>
              </w:r>
            </w:p>
            <w:p>
              <w:pPr>
                <w:spacing w:after="160"/>
              </w:pPr>
              <w:r>
                <w:rPr>
                  <w:b/>
                </w:rPr>
                <w:t xml:space="preserve">Måleparameterfordeling 2024/2025</w:t>
              </w:r>
            </w:p>
            <w:p>
              <w:pPr>
                <w:spacing w:after="160"/>
              </w:pPr>
              <w:r>
                <w:drawing>
                  <wp:inline distT="0" distB="0" distL="0" distR="0">
                    <wp:extent cx="5772150" cy="3514725"/>
                    <wp:effectExtent l="19050" t="0" r="0" b="0"/>
                    <wp:docPr id="6"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cc5c0f26628649b2"/>
                            <a:srcRect/>
                            <a:stretch>
                              <a:fillRect/>
                            </a:stretch>
                          </pic:blipFill>
                          <pic:spPr bwMode="auto">
                            <a:xfrm>
                              <a:off x="0" y="0"/>
                              <a:ext cx="5772150" cy="3514725"/>
                            </a:xfrm>
                            <a:prstGeom prst="rect">
                              <a:avLst/>
                            </a:prstGeom>
                          </pic:spPr>
                        </pic:pic>
                      </a:graphicData>
                    </a:graphic>
                  </wp:inline>
                </w:drawing>
              </w:r>
            </w:p>
            <w:p>
              <w:pPr>
                <w:spacing w:after="160"/>
              </w:pPr>
              <w:r>
                <w:t xml:space="preserve">Det er totalt rapportert 2376 avvik og uønskede hendelser i 2025, mot 2666 i 2024, noe som er en nedgang på 10,87%. En forvaltningsrevisjon av avvikshåndtering i helse og omsorg i Porsgrunn kommune ble utført av Vestfold og Telemark revisjon i 2022; Rapporten fra forvaltningsrevisjonen konkluderer blant annet med at det er flere avvik og uønskede hendelser som ikke blir registrert i TQM. Det har fra 2021 vært en oppgang i meldte avvik og uønskede hendelser, noe som var forventet etter at det ble satt et større søkelys på området i 2022. Antall meldte hendelser har nå sunket ned til nærmere samme nivå som i 2022 etter flere år med økning, noe som er positivt.</w:t>
              </w:r>
            </w:p>
            <w:p>
              <w:pPr>
                <w:spacing w:after="160"/>
              </w:pPr>
              <w:r>
                <w:t xml:space="preserve">Avvik og uønskede hendelser knyttes til ulike måleparametere, dette hukes for av ansatte når de melder; En hendelser kan derfor knyttes til flere parametere samtidig, eksempelvis kan en meldt hendelse knyttes både til legemiddelhåndtering og manglende utført tjeneste mm., noe som vil gi utslag i statistikken.</w:t>
              </w:r>
            </w:p>
            <w:p>
              <w:pPr>
                <w:spacing w:after="160"/>
              </w:pPr>
              <w:r>
                <w:t xml:space="preserve">Blant avvik og uønskede hendelsene i 2025 er 49,79% knyttet til legemiddelhåndtering, 10,09% gjelder manglende utført tjeneste, 7,65% omhandler ukjent årsak og 7,08% er knyttet til mangelfull intern kommunikasjon. Disse kategoriene utgjør til sammen 74,61% og er de fire største parameterne. Dette gir tjeneste en klar retning for hva forbedringsarbeidet bør konsentrere seg. Alle kategorier foruten to har nedgang i 2025 sammenlignet mot 2024, det er kun legemiddelhåndtering og ernæring som har en økning. Tre av de største kategoriene i 2025 er de samme som i 2024 og de fire største kategoriene er beskrevet under hver for seg.</w:t>
              </w:r>
            </w:p>
            <w:p>
              <w:pPr>
                <w:spacing w:after="160"/>
              </w:pPr>
              <w:r>
                <w:t xml:space="preserve"> </w:t>
              </w:r>
            </w:p>
            <w:p>
              <w:pPr>
                <w:spacing w:after="160"/>
              </w:pPr>
              <w:r>
                <w:rPr>
                  <w:b/>
                </w:rPr>
                <w:t xml:space="preserve">Detaljert fordeling på underparametere</w:t>
              </w:r>
            </w:p>
            <w:p>
              <w:pPr>
                <w:spacing w:after="160"/>
              </w:pPr>
              <w:r>
                <w:rPr>
                  <w:b/>
                </w:rPr>
                <w:t xml:space="preserve">Legemiddelhåndtering</w:t>
              </w:r>
            </w:p>
            <w:p>
              <w:pPr>
                <w:spacing w:after="160"/>
              </w:pPr>
              <w:r>
                <w:drawing>
                  <wp:inline distT="0" distB="0" distL="0" distR="0">
                    <wp:extent cx="5772150" cy="3009900"/>
                    <wp:effectExtent l="19050" t="0" r="0" b="0"/>
                    <wp:docPr id="7"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b62ce434b73e49c3"/>
                            <a:srcRect/>
                            <a:stretch>
                              <a:fillRect/>
                            </a:stretch>
                          </pic:blipFill>
                          <pic:spPr bwMode="auto">
                            <a:xfrm>
                              <a:off x="0" y="0"/>
                              <a:ext cx="5772150" cy="3009900"/>
                            </a:xfrm>
                            <a:prstGeom prst="rect">
                              <a:avLst/>
                            </a:prstGeom>
                          </pic:spPr>
                        </pic:pic>
                      </a:graphicData>
                    </a:graphic>
                  </wp:inline>
                </w:drawing>
              </w:r>
            </w:p>
            <w:p>
              <w:pPr>
                <w:spacing w:after="160"/>
              </w:pPr>
              <w:r>
                <w:t xml:space="preserve">Det er rapportert 1308 avvik og uønskede hendelser knyttet til legemiddelhåndtering i 2025, dette er en oppgang mot 1184 i 2024, en oppgang på 10,47%. Selv om det er et høyt antall hendelser så er det viktig å understreke at det gjøres utrolig mange legemiddelhåndterings-operasjoner (utdeling, dosetter mm.) igjennom et år. En pasient eller bruker kan eksempelvis motta legemidler mange ganger igjennom et døgn.</w:t>
              </w:r>
            </w:p>
            <w:p>
              <w:pPr>
                <w:spacing w:after="160"/>
              </w:pPr>
              <w:r>
                <w:t xml:space="preserve">I meldt alvorlighetskategori er 4,82% kategorisert som høy i 2025, dette tilsvarer 63 hendelser. Dette er en nedgang mot 2024 hvor 6,42% ble kategorisert som høy. I kategorien med middels alvorlighetsgrad har det også vært en klar nedgang; 24,62% i 2025 mot 28,63% i 2024. I siste kategori, lav alvorlighetsgrad, har det vært en klar økning ettersom det totale antallet har økt; 70,57% mot 64,95%. Selv om antall hendelser har økt så er det positivt å se at økningen kun, prosentmessig og i antall, er i den laveste alvorlighetskategorien.  </w:t>
              </w:r>
            </w:p>
            <w:p>
              <w:pPr>
                <w:spacing w:after="160"/>
              </w:pPr>
              <w:r>
                <w:t xml:space="preserve">Den største underkategorien innenfor legemiddelhåndtering er «legemiddel ikke gitt». Dette er likt med tidligere år og det er flere årsaker til dette som eksempelvis at legemiddel er glemt utlevert, utlevert for sent eller funnet legemidler inne på pasientrom som ikke er tatt. Den største årsaken i hendelser er at pasienten eller brukeren ikke ønsker å ta legemiddelet.</w:t>
              </w:r>
            </w:p>
            <w:p>
              <w:pPr>
                <w:spacing w:after="160"/>
              </w:pPr>
              <w:r>
                <w:t xml:space="preserve">Den nest største underkategorien er «ikke kategoriserte»; Dette er avvik og uønskede hendelser som er registrert på legemiddelhåndtering generelt og ikke på en av underkategoriene som er i avvikssystemet, derfor er de lagt til i en egen kategori som «ikke kategorisert». Dette er hendelser som enten treffer flere underkategorier samtidig, som ikke treffer noen av underkategoriene eller som er feilregistrerte. Eksempler kan være:</w:t>
              </w:r>
            </w:p>
            <w:p>
              <w:pPr>
                <w:pStyle w:val="ListParagraph"/>
                <w:numPr>
                  <w:ilvl w:val="0"/>
                  <w:numId w:val="2"/>
                </w:numPr>
                <w:spacing w:after="160"/>
              </w:pPr>
              <w:r>
                <w:t xml:space="preserve">Medikament gitt feil dag eller ikke dokumentert.</w:t>
              </w:r>
            </w:p>
            <w:p>
              <w:pPr>
                <w:pStyle w:val="ListParagraph"/>
                <w:numPr>
                  <w:ilvl w:val="0"/>
                  <w:numId w:val="2"/>
                </w:numPr>
                <w:spacing w:after="160"/>
              </w:pPr>
              <w:r>
                <w:t xml:space="preserve">Medikament ikke lagt opp i dosett etter endring.</w:t>
              </w:r>
            </w:p>
            <w:p>
              <w:pPr>
                <w:pStyle w:val="ListParagraph"/>
                <w:numPr>
                  <w:ilvl w:val="0"/>
                  <w:numId w:val="2"/>
                </w:numPr>
                <w:spacing w:after="160"/>
              </w:pPr>
              <w:r>
                <w:t xml:space="preserve">Endringer i medikament ikke ført opp i alle systemer.</w:t>
              </w:r>
            </w:p>
            <w:p>
              <w:pPr>
                <w:pStyle w:val="ListParagraph"/>
                <w:numPr>
                  <w:ilvl w:val="0"/>
                  <w:numId w:val="2"/>
                </w:numPr>
                <w:spacing w:after="160"/>
              </w:pPr>
              <w:r>
                <w:t xml:space="preserve">Medikament funnet på pasientrom.</w:t>
              </w:r>
            </w:p>
            <w:p>
              <w:pPr>
                <w:pStyle w:val="ListParagraph"/>
                <w:numPr>
                  <w:ilvl w:val="0"/>
                  <w:numId w:val="2"/>
                </w:numPr>
                <w:spacing w:after="160"/>
              </w:pPr>
              <w:r>
                <w:t xml:space="preserve">Ikke tatt temperaturkontroll på medikamentrom.</w:t>
              </w:r>
            </w:p>
            <w:p>
              <w:pPr>
                <w:spacing w:after="160"/>
              </w:pPr>
              <w:r>
                <w:t xml:space="preserve">Den tredje største underkategorien innenfor legemiddelhåndtering er «mangelfull dokumentasjon ift legemiddel»; Dette omhandler flere typer ulike hendelser som at medisiner gitt ikke er dokumentert, manglende dokumentasjon, signatur mangler, legemiddelliste som ikke er oppdatert ved endringer, mangler ved narkotikakontroll mm.</w:t>
              </w:r>
            </w:p>
            <w:p>
              <w:pPr>
                <w:spacing w:after="160"/>
              </w:pPr>
              <w:r>
                <w:t xml:space="preserve">Innføringen av elektronisk multidosedispenser har tidligere år blitt utsatt grunnet at leverandører av dispensere ikke klarte å oppfylle kommunens kravspesifikasjon, og senere på grunn av kapasitetsmangler. Det er et mål at elektronisk multidosedispenser skal kunne forebygge feilmedisinering samt øke mestring for hjemmeboende brukere. Elektronisk multidosedispenser er noe som vil vurderes på nytt i 2026 nå som vi har ny avtale som også omfatter levering av den teknologien.</w:t>
              </w:r>
            </w:p>
            <w:p>
              <w:pPr>
                <w:spacing w:after="160"/>
              </w:pPr>
              <w:r>
                <w:t xml:space="preserve">Samhandlingstavler er et tiltak som kan ha bidratt til å få ned antall alvorlige avvik som omhandler legemidler. Tiltaket bidrar til å følge opp legemiddelsamstemming ved overflytting av tjenestemottaker eksempelvis fra en avdeling til en annen, og det er lagt inn sjekkliste for legemiddelgjennomgang for ny tjenestemottaker og ved hel- og halvsårkontroller for beboere på langtidsopphold. Det blir gitt et varsel på aktuell avdeling når det nærmer seg frist for eksempelvis legemiddelgjennomgang med lege. Det blir synlig hvem som har gjennomført tiltaket, og når. Samhandlingstavlene ble tatt i bruk i alle virksomheter i helse og omsorg i 2022, og det er grunn til å tro at dette har bidratt til et økt fokus på legemiddelhåndtering.</w:t>
              </w:r>
            </w:p>
            <w:p>
              <w:pPr>
                <w:spacing w:after="160"/>
              </w:pPr>
              <w:r>
                <w:t xml:space="preserve"> </w:t>
              </w:r>
            </w:p>
            <w:p>
              <w:pPr>
                <w:spacing w:after="160"/>
              </w:pPr>
              <w:r>
                <w:rPr>
                  <w:b/>
                </w:rPr>
                <w:t xml:space="preserve">Manglende utført tjeneste</w:t>
              </w:r>
            </w:p>
            <w:p>
              <w:pPr>
                <w:spacing w:after="160"/>
              </w:pPr>
              <w:r>
                <w:t xml:space="preserve">10,09% av hendelsene er meldt på dette parametere. Dette er en måleparameter som ikke har en mer detaljert fordeling, og som favnet et bredt spekter av hendelser. Noen av områdene som peker seg ut er:</w:t>
              </w:r>
            </w:p>
            <w:p>
              <w:pPr>
                <w:pStyle w:val="ListParagraph"/>
                <w:numPr>
                  <w:ilvl w:val="0"/>
                  <w:numId w:val="3"/>
                </w:numPr>
                <w:spacing w:after="160"/>
              </w:pPr>
              <w:r>
                <w:t xml:space="preserve">Manglede utført tjeneste som oppdages av andre, enten i egen virksomhet eller hos samhandlingspartnere i helse (internt eller eksternt). </w:t>
              </w:r>
            </w:p>
            <w:p>
              <w:pPr>
                <w:pStyle w:val="ListParagraph"/>
                <w:numPr>
                  <w:ilvl w:val="0"/>
                  <w:numId w:val="3"/>
                </w:numPr>
                <w:spacing w:after="160"/>
              </w:pPr>
              <w:r>
                <w:t xml:space="preserve">Tjenestemottaker fikk senere helsehjelp enn ønskelig grunnet stor arbeidsmengde.</w:t>
              </w:r>
            </w:p>
            <w:p>
              <w:pPr>
                <w:pStyle w:val="ListParagraph"/>
                <w:numPr>
                  <w:ilvl w:val="0"/>
                  <w:numId w:val="3"/>
                </w:numPr>
                <w:spacing w:after="160"/>
              </w:pPr>
              <w:r>
                <w:t xml:space="preserve">Manglende registrering/dokumentasjon i fagsystemene.</w:t>
              </w:r>
            </w:p>
            <w:p>
              <w:pPr>
                <w:pStyle w:val="ListParagraph"/>
                <w:numPr>
                  <w:ilvl w:val="0"/>
                  <w:numId w:val="3"/>
                </w:numPr>
                <w:spacing w:after="160"/>
              </w:pPr>
              <w:r>
                <w:t xml:space="preserve">Mangel på utstyr og/eller feil på utstyr.</w:t>
              </w:r>
            </w:p>
            <w:p>
              <w:pPr>
                <w:spacing w:after="160"/>
              </w:pPr>
              <w:r>
                <w:t xml:space="preserve">Forbedringsarbeid innenfor dette området vil være generelt arbeid med sykefravær, bemanning og oppfølging av utstyr og tekniske systemer. Sykdom hos personale vil dessverre oppstå i fremtiden og at nødvendig helsehjelp blir prioritert fremfor andre oppgaver er en realitet som oppstår ved akutt sykdom og kapasitetsutfordringer på enkeltvakter.</w:t>
              </w:r>
            </w:p>
            <w:p>
              <w:pPr>
                <w:spacing w:after="160"/>
              </w:pPr>
              <w:r>
                <w:rPr>
                  <w:b/>
                </w:rPr>
                <w:t xml:space="preserve">Ukjent årsak</w:t>
              </w:r>
            </w:p>
            <w:p>
              <w:pPr>
                <w:spacing w:after="160"/>
              </w:pPr>
              <w:r>
                <w:t xml:space="preserve">7,65% av hendelser er knyttet til parametere «ukjent årsak». Dette er hendelser som ofte er registrert med flere ulike parametere samtidig, hvor «ukjent årsak» ikke fremstår som det viktigste parametere i hendelsen. Hendelser registrert under dette parametere omhandler:</w:t>
              </w:r>
            </w:p>
            <w:p>
              <w:pPr>
                <w:pStyle w:val="ListParagraph"/>
                <w:numPr>
                  <w:ilvl w:val="0"/>
                  <w:numId w:val="4"/>
                </w:numPr>
                <w:spacing w:after="160"/>
              </w:pPr>
              <w:r>
                <w:t xml:space="preserve">Ressurser som er mangelfulle, som for få på vakt. </w:t>
              </w:r>
            </w:p>
            <w:p>
              <w:pPr>
                <w:pStyle w:val="ListParagraph"/>
                <w:numPr>
                  <w:ilvl w:val="0"/>
                  <w:numId w:val="4"/>
                </w:numPr>
                <w:spacing w:after="160"/>
              </w:pPr>
              <w:r>
                <w:t xml:space="preserve">Medisiner funnet på pasientrom.</w:t>
              </w:r>
            </w:p>
            <w:p>
              <w:pPr>
                <w:pStyle w:val="ListParagraph"/>
                <w:numPr>
                  <w:ilvl w:val="0"/>
                  <w:numId w:val="4"/>
                </w:numPr>
                <w:spacing w:after="160"/>
              </w:pPr>
              <w:r>
                <w:t xml:space="preserve">Mangel på arbeidstøy.</w:t>
              </w:r>
            </w:p>
            <w:p>
              <w:pPr>
                <w:pStyle w:val="ListParagraph"/>
                <w:numPr>
                  <w:ilvl w:val="0"/>
                  <w:numId w:val="4"/>
                </w:numPr>
                <w:spacing w:after="160"/>
              </w:pPr>
              <w:r>
                <w:t xml:space="preserve">Arbeid som ikke er utført av andre.</w:t>
              </w:r>
            </w:p>
            <w:p>
              <w:pPr>
                <w:pStyle w:val="ListParagraph"/>
                <w:numPr>
                  <w:ilvl w:val="0"/>
                  <w:numId w:val="4"/>
                </w:numPr>
                <w:spacing w:after="160"/>
              </w:pPr>
              <w:r>
                <w:t xml:space="preserve">Utagering fra bruker.</w:t>
              </w:r>
            </w:p>
            <w:p>
              <w:pPr>
                <w:pStyle w:val="ListParagraph"/>
                <w:numPr>
                  <w:ilvl w:val="0"/>
                  <w:numId w:val="4"/>
                </w:numPr>
                <w:spacing w:after="160"/>
              </w:pPr>
              <w:r>
                <w:t xml:space="preserve">Bruker som har hatt fall.</w:t>
              </w:r>
            </w:p>
            <w:p>
              <w:pPr>
                <w:pStyle w:val="ListParagraph"/>
                <w:numPr>
                  <w:ilvl w:val="0"/>
                  <w:numId w:val="4"/>
                </w:numPr>
                <w:spacing w:after="160"/>
              </w:pPr>
              <w:r>
                <w:t xml:space="preserve">Skade eller feil på utstyr og/eller kjøretøy.</w:t>
              </w:r>
            </w:p>
            <w:p>
              <w:pPr>
                <w:spacing w:after="160"/>
              </w:pPr>
              <w:r>
                <w:t xml:space="preserve">Forbedringsarbeid innenfor dette området krever mer målrettet innsats i hver enkelt hendelse, da de ofte kan knyttes opp mot andre områder fremfor at årsaken til hendelsen er ukjent. Det vil også være et generelle arbeidet med å avdekke årsak når hendelser blir jobbet med i avdelinger og virksomheter, og at dette oppdateres i hendelsesbeskrivelsen der det er mulig å avdekke årsak. Dette kan være med på å forhindre lignende hendelser i fremtiden hvor det er mulig. Opplæring knyttet til å fylle ut avvik og uønskede hendelser kan også være med på å senke antall feilregistrerte hendelser eller at det knyttes måleparametere til en hendelse unødvendig.</w:t>
              </w:r>
            </w:p>
            <w:p>
              <w:pPr>
                <w:spacing w:after="160"/>
              </w:pPr>
              <w:r>
                <w:rPr>
                  <w:b/>
                </w:rPr>
                <w:t xml:space="preserve">Mangelfull intern kommunikasjon</w:t>
              </w:r>
            </w:p>
            <w:p>
              <w:pPr>
                <w:spacing w:after="160"/>
              </w:pPr>
              <w:r>
                <w:t xml:space="preserve">7,08 % av hendelser er registrert på parametere mangelfull intern kommunikasjon. Dette måleparameterer har heller ikke underkategorier og her kunne flere hendelser vært meldt under andre parameter – dette er noe som gjentar seg på i de andre kategoriene, men hendelser kan registreres under flere parametere samtidig. Det er i hovedsak følgende områder som peker seg ut under dette parametere:</w:t>
              </w:r>
            </w:p>
            <w:p>
              <w:pPr>
                <w:pStyle w:val="ListParagraph"/>
                <w:numPr>
                  <w:ilvl w:val="0"/>
                  <w:numId w:val="5"/>
                </w:numPr>
                <w:spacing w:after="160"/>
              </w:pPr>
              <w:r>
                <w:t xml:space="preserve">Mangel på internt samarbeid blant ansatte i avdeling.</w:t>
              </w:r>
            </w:p>
            <w:p>
              <w:pPr>
                <w:pStyle w:val="ListParagraph"/>
                <w:numPr>
                  <w:ilvl w:val="0"/>
                  <w:numId w:val="5"/>
                </w:numPr>
                <w:spacing w:after="160"/>
              </w:pPr>
              <w:r>
                <w:t xml:space="preserve">Manglende intern kommunikasjon om nye tiltak, både rundt bruker og interne rutiner.</w:t>
              </w:r>
            </w:p>
            <w:p>
              <w:pPr>
                <w:pStyle w:val="ListParagraph"/>
                <w:numPr>
                  <w:ilvl w:val="0"/>
                  <w:numId w:val="5"/>
                </w:numPr>
                <w:spacing w:after="160"/>
              </w:pPr>
              <w:r>
                <w:t xml:space="preserve">Utfordrende samarbeid og/eller utagering med bruker.</w:t>
              </w:r>
            </w:p>
            <w:p>
              <w:pPr>
                <w:pStyle w:val="ListParagraph"/>
                <w:numPr>
                  <w:ilvl w:val="0"/>
                  <w:numId w:val="5"/>
                </w:numPr>
                <w:spacing w:after="160"/>
              </w:pPr>
              <w:r>
                <w:t xml:space="preserve">Manglende rapport ved vaktskifter.</w:t>
              </w:r>
            </w:p>
            <w:p>
              <w:pPr>
                <w:pStyle w:val="ListParagraph"/>
                <w:numPr>
                  <w:ilvl w:val="0"/>
                  <w:numId w:val="5"/>
                </w:numPr>
                <w:spacing w:after="160"/>
              </w:pPr>
              <w:r>
                <w:t xml:space="preserve">Beskjeder som blir gitt muntlig og som ikke er registrert i fagsystemer, som fører til avvik eller uønskede hendelser.</w:t>
              </w:r>
            </w:p>
            <w:p>
              <w:pPr>
                <w:pStyle w:val="ListParagraph"/>
                <w:numPr>
                  <w:ilvl w:val="0"/>
                  <w:numId w:val="5"/>
                </w:numPr>
                <w:spacing w:after="160"/>
              </w:pPr>
              <w:r>
                <w:t xml:space="preserve">Manglende beskjeder gitt om tjenestemottaker som ikke er hjemme/ikke skal ha besøk som fører til unødvendig besøk.</w:t>
              </w:r>
            </w:p>
            <w:p>
              <w:pPr>
                <w:pStyle w:val="ListParagraph"/>
                <w:numPr>
                  <w:ilvl w:val="0"/>
                  <w:numId w:val="5"/>
                </w:numPr>
                <w:spacing w:after="160"/>
              </w:pPr>
              <w:r>
                <w:t xml:space="preserve">Sen eller manglende overføring av informasjon fra eksterne samarbeidspartnere.  </w:t>
              </w:r>
            </w:p>
            <w:p>
              <w:pPr>
                <w:pStyle w:val="ListParagraph"/>
                <w:numPr>
                  <w:ilvl w:val="0"/>
                  <w:numId w:val="5"/>
                </w:numPr>
                <w:spacing w:after="160"/>
              </w:pPr>
              <w:r>
                <w:t xml:space="preserve">Tekniske problemer knyttet til utstyr.</w:t>
              </w:r>
            </w:p>
            <w:p>
              <w:pPr>
                <w:spacing w:after="160"/>
              </w:pPr>
              <w:r>
                <w:t xml:space="preserve">Som nevnt under parametere ukjent årsak så må det her jobbes målrettet med forbedringsarbeidet opp mot hver enkel hendelse. Samtidig så er det noen områder som er mer generelle hvor forbedringsarbeidet handler om å oppdatere eller forbedre rutiner og prosedyrer, kommunikasjon rundt rutiner og prosedyrer og oppfølging av intern samhandling. Oppfølging av arbeidsmiljø vil også være et viktig moment der hvor det oppleves at det er manglende internt samarbeid blant ansatte i en avdeling.  </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8f63fe34a07e4329" /><Relationship Type="http://schemas.openxmlformats.org/officeDocument/2006/relationships/image" Target="/media/image.jpg" Id="Rc78d5bacec2343f1" /><Relationship Type="http://schemas.openxmlformats.org/officeDocument/2006/relationships/image" Target="/media/image2.jpg" Id="R249507618aeb4cd7" /><Relationship Type="http://schemas.openxmlformats.org/officeDocument/2006/relationships/image" Target="/media/image3.jpg" Id="Rcc5c0f26628649b2" /><Relationship Type="http://schemas.openxmlformats.org/officeDocument/2006/relationships/image" Target="/media/image4.jpg" Id="Rb62ce434b73e49c3"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Tjenesteavvik 2025 Helse og omsorg</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