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26/9379</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Gunnvor Svartdal</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06.08.2026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Småhus - rom og funksjonsprogram (B1) </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20.08.2026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25.08.2026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         Foreliggende rom- og funksjonsprogram godkjennes som underlag for utsendelse av konkurranse på en totalentreprise. Denne vil omfatte formgivning, prosjektering og bygging av to småhus på Mule.</w:t>
              </w:r>
            </w:p>
            <w:p>
              <w:pPr>
                <w:spacing w:after="160"/>
              </w:pPr>
              <w:r>
                <w:t xml:space="preserve">·         Investeringsbeslutning (B2) fremmes som egen sak på senere tidspunkt.</w:t>
              </w:r>
            </w:p>
            <w:p>
              <w:pPr>
                <w:spacing w:after="160"/>
              </w:pPr>
              <w:r>
                <w:t xml:space="preserve"> </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1.juli 2023 trådte lov om kommunenes ansvar på det boligsosiale feltet (boligsosialloven) i kraft. Loven stiller økte krav til kommunene, blant annet om å gi boligsosial bistand til alle som oppholder seg i kommunen.</w:t>
              </w:r>
            </w:p>
            <w:p>
              <w:pPr>
                <w:spacing w:after="160"/>
              </w:pPr>
              <w:r>
                <w:t xml:space="preserve">Bistanden skal så langt som mulig tilpasses den enkelte gruppers behov. De bostedsløse har ofte hatt flere boforhold og flere utkastelser bak seg. Ofte pga. husbråk og nedsatt evne eller ferdighet til å ta hensyn til andre. Det er også ofte en utfordring med å ha andre tett innpå seg. Dette er en gruppe mennesker som trenger å bo mer for seg selv gjerne i noe skjermede omgivelser.</w:t>
              </w:r>
            </w:p>
            <w:p>
              <w:pPr>
                <w:spacing w:after="160"/>
              </w:pPr>
              <w:r>
                <w:t xml:space="preserve">Tilbudet på Mule/Blåveiskroken skal være for personer med behov for vedtaksfestede tjenester som er utover 1 time i uken eller på bare dagtid. Husene bør ligge i nærheten av bofellesskap som har ansatte som kan ambulere ut og gi bistand.</w:t>
              </w:r>
            </w:p>
            <w:p>
              <w:pPr>
                <w:spacing w:after="160"/>
              </w:pPr>
              <w:r>
                <w:t xml:space="preserve">Husene vil ved rett plassering kunne lette presset på de ambulante helse og omsorgstjenestene fordi personalressurser i bofellesskapene utnyttes bedre.</w:t>
              </w:r>
            </w:p>
            <w:p>
              <w:pPr>
                <w:spacing w:after="160"/>
              </w:pPr>
              <w:r>
                <w:t xml:space="preserve">Normalt ville prosessen rundt et nytt eller utvidet tilbud, her i form av boliger bli gjort til gjenstand for en konseptvalgutredning/ alternativanalyse, der valg av konsept/ alternativ gjøres i en politisk beslutning kalt B1.</w:t>
              </w:r>
            </w:p>
            <w:p>
              <w:pPr>
                <w:spacing w:after="160"/>
              </w:pPr>
              <w:r>
                <w:t xml:space="preserve">Det vil i det videre framgå at det ikke foreligger øvrige alternativer enn 0-alternativet, altså å ikke realisere disse boligene. Som en konsekvens legges det derfor fram et konkret romprogram som alternativ 1 som grunnlag for beslutning om dette er noe det skal arbeides videre med.</w:t>
              </w:r>
            </w:p>
          </w:sdtContent>
        </w:sdt>
        <w:sdt>
          <w:sdtPr>
            <w:alias w:val="SaksTekst"/>
            <w:tag w:val="SaksTekst"/>
            <w:id w:val="-1309477531"/>
          </w:sdtPr>
          <w:sdtContent>
            <w:p>
              <w:pPr>
                <w:spacing w:after="160"/>
              </w:pPr>
              <w:r>
                <w:rPr>
                  <w:b/>
                </w:rPr>
                <w:t xml:space="preserve">Saksfremstilling</w:t>
              </w:r>
            </w:p>
            <w:p>
              <w:pPr>
                <w:spacing w:after="160"/>
              </w:pPr>
              <w:r>
                <w:rPr>
                  <w:b/>
                </w:rPr>
                <w:t xml:space="preserve">Lokalisering</w:t>
              </w:r>
            </w:p>
            <w:p>
              <w:pPr>
                <w:spacing w:after="160"/>
              </w:pPr>
              <w:r>
                <w:t xml:space="preserve">Fra tidligere er det arbeidet i flere omganger for å finne areal egnet for utbygging av et slikt tilbud blant Porsgrunn kommunes egne eiendommer. Senere har også arealer i Porsgrunn Utviklings (kommunens eiendomsselskap) portefølje vært vurdert. Samtlige lokasjoner har i tur og orden blitt forkastet pga. manglende infrastruktur, nærhet til boligområder/ barn/ unge, eller særlig bevaringsverdige naturtype. Det foreligger således ingen alternative tomter i kommunen som gir tilsvarende funksjonalitet, skjerming og nærhet til nødvendige tjenester.</w:t>
              </w:r>
            </w:p>
            <w:p>
              <w:pPr>
                <w:spacing w:after="160"/>
              </w:pPr>
              <w:r>
                <w:t xml:space="preserve">Tomten gnr/bnr 59/1, beliggende i Blåveiskroken 2, er i gjeldende reguleringsplan for deler av Blåveiskroken (2005) regulert til offentlig tjenesteyting (O3). Hovedformålet med reguleringen er å legge til rette for botiltak i tilknytning til psykisk helsetjeneste. På området er det allerede etablert offentlig tjenesteyting med Blåveiskroken bofellesskap</w:t>
              </w:r>
            </w:p>
            <w:p>
              <w:pPr>
                <w:spacing w:after="160"/>
              </w:pPr>
              <w:r>
                <w:rPr>
                  <w:u w:val="single"/>
                </w:rPr>
                <w:t xml:space="preserve">Tiltakets plassering og samfunnsnytte</w:t>
              </w:r>
            </w:p>
            <w:p>
              <w:pPr>
                <w:spacing w:after="160"/>
              </w:pPr>
              <w:r>
                <w:t xml:space="preserve">Småhusene faller rett innunder reguleringsformål og tidligere planer for tomten. Plasseringen av småhusene er vurdert som særlig egnet på bakgrunn av nærhet til etablerte tjenester og ambulerende team. Dette muliggjør tett og effektiv oppfølging av en sårbar målgruppe, reduserer behovet for transport og bidrar til økt trygghet både for beboere og tjenesteapparat.</w:t>
              </w:r>
            </w:p>
            <w:p>
              <w:pPr>
                <w:spacing w:after="160"/>
              </w:pPr>
              <w:r>
                <w:rPr>
                  <w:u w:val="single"/>
                </w:rPr>
                <w:t xml:space="preserve">Registrert naturmangfold</w:t>
              </w:r>
            </w:p>
            <w:p>
              <w:pPr>
                <w:spacing w:after="160"/>
              </w:pPr>
              <w:r>
                <w:t xml:space="preserve">I september 2025 ble det gjennomført kartlegging av naturmangfold i Porsgrunn kommune. Kartleggingen viser forekomst av naturtyper med stor verdi innenfor deler av tomten. Dette innebærer at tiltaket må vurderes etter naturmangfoldlovens §§ 8–12.</w:t>
              </w:r>
            </w:p>
            <w:p>
              <w:pPr>
                <w:spacing w:after="160"/>
              </w:pPr>
              <w:r>
                <w:t xml:space="preserve">Etter ytterligere en gjennomgang av tomtens naturmangfold er det satt opp tiltak / løsninger for å ivare tomtens naturmangfold på best mulig måte samtidig som boliger blir realisert.</w:t>
              </w:r>
            </w:p>
            <w:p>
              <w:pPr>
                <w:spacing w:after="160"/>
              </w:pPr>
              <w:r>
                <w:rPr>
                  <w:b/>
                </w:rPr>
                <w:t xml:space="preserve">Rom- og funksjonsprogram</w:t>
              </w:r>
            </w:p>
            <w:p>
              <w:pPr>
                <w:spacing w:after="160"/>
              </w:pPr>
              <w:r>
                <w:t xml:space="preserve">Rom- og funksjonsprogrammet er utarbeidet i dialog med tjenesteyter, som i denne sammenheng vil være Psykisk helsetjeneste og rusomsorg.</w:t>
              </w:r>
            </w:p>
            <w:p>
              <w:pPr>
                <w:spacing w:after="160"/>
              </w:pPr>
              <w:r>
                <w:t xml:space="preserve">Tiltaket i Blåveiskroken vil bestå av 2 komplette frittliggende boenheter utstyrt med alle nødvendige funksjoner; oppholdsrom, soverom, kjøkken, baderom og bod, samt etablert i nærhet av eksisterende døgnbemannet personalbase i Blåveiskroken 2.</w:t>
              </w:r>
            </w:p>
            <w:p>
              <w:pPr>
                <w:spacing w:after="160"/>
              </w:pPr>
              <w:r>
                <w:t xml:space="preserve">Det er gjort nøkterne anslag på arealbehov for boligene. Samlet gir dette et nettoareal på ca. 40 m2 pr enhet, noe som antatt vil utgjøre et bruttoareal på ca. 100 m2. for de to enhetene.</w:t>
              </w:r>
            </w:p>
            <w:p>
              <w:pPr>
                <w:spacing w:after="160"/>
              </w:pPr>
              <w:r>
                <w:rPr>
                  <w:b/>
                </w:rPr>
                <w:t xml:space="preserve">Økonomi</w:t>
              </w:r>
            </w:p>
            <w:p>
              <w:pPr>
                <w:spacing w:after="160"/>
              </w:pPr>
              <w:r>
                <w:t xml:space="preserve">Tiltak knyttet til tilrettelagte boliger for mennesker med rus/ROP utfordringer er innarbeidet i handlingsprogrammet for 2026-2029 med 10 MNOK.</w:t>
              </w:r>
            </w:p>
            <w:p>
              <w:pPr>
                <w:spacing w:after="160"/>
              </w:pPr>
              <w:r>
                <w:t xml:space="preserve">Tallet oppfattes som brutto investering, altså inkl. mva.</w:t>
              </w:r>
            </w:p>
            <w:p>
              <w:pPr>
                <w:spacing w:after="160"/>
              </w:pPr>
              <w:r>
                <w:t xml:space="preserve">Mer konkret rundt dette vil framkomme i sak om investeringsbeslutning (B2), slik at driftskostnadene kan innarbeides i kommende handlingsplaner.</w:t>
              </w:r>
            </w:p>
            <w:p>
              <w:pPr>
                <w:spacing w:after="160"/>
              </w:pPr>
              <w:r>
                <w:rPr>
                  <w:b/>
                </w:rPr>
                <w:t xml:space="preserve">Anskaffelsesstrategi</w:t>
              </w:r>
            </w:p>
            <w:p>
              <w:pPr>
                <w:spacing w:after="160"/>
              </w:pPr>
              <w:r>
                <w:t xml:space="preserve">Rom- og funksjonsprogrammet er gjennomarbeidet og forankret. Dette vil være relativt enkle byggerier, og behovet for sterk brukermedvirkning i videre utforming synes derfor unødvendig.</w:t>
              </w:r>
            </w:p>
            <w:p>
              <w:pPr>
                <w:spacing w:after="160"/>
              </w:pPr>
              <w:r>
                <w:t xml:space="preserve">Det er grunn til å tro at det å utvikle et slik prosjekt vil være attraktivt i dagens marked, og kanskje spesielt aktuelt for små og mellomstore entreprenører som tradisjonelt opererer i boligmarkedet.</w:t>
              </w:r>
            </w:p>
            <w:p>
              <w:pPr>
                <w:spacing w:after="160"/>
              </w:pPr>
              <w:r>
                <w:t xml:space="preserve">Vi ser derfor for oss å utlyse en konkurranse på en totalentreprise der plassering er gitt, og rom- og funksjonsprogrammet ligger til grunn. Aktuelle tilbydere må da utarbeide skisser, beskrivelser og en tilbudspris. I en slik modell må det settes opp en tilpassede tildelingskriterier, som eksempelvis estetikk, funksjonalitet, arealeffektivitet, klima- og energikvaliteter, materialkvaliteter, framdrift og pris. Hvordan disse kriteriene vektes opp mot hverandre vil ofte være avgjørende for utfallet av slike konkurranser, og må derfor gjøres til gjenstand for nøye vurderinger i det videre arbeidet.</w:t>
              </w:r>
            </w:p>
            <w:p>
              <w:pPr>
                <w:spacing w:after="160"/>
              </w:pPr>
              <w:r>
                <w:rPr>
                  <w:b/>
                </w:rPr>
                <w:t xml:space="preserve">Framdrift</w:t>
              </w:r>
            </w:p>
            <w:p>
              <w:pPr>
                <w:spacing w:after="160"/>
              </w:pPr>
              <w:r>
                <w:t xml:space="preserve">Gjennomføring av en anskaffelsesprosess der tilbyder(entreprenør) skal utvikle et prosjekt fra tidlig fase til og med gjennomføringsfase, for så å prisete,  vil være en noe mer tidkrevende prosess enn prissetting dirkete fra forprosjekt. Samtidig sparer man tid i forhold til å kontrahere arkitekt/ rådgivere for deretter å planlegge prosjektet fram til forprosjekt/ anbudsinnbydelse. I og med at det i forkant av konkurransen ikke foreligger en investeringsbeslutning, så må det legges fram ny politisk sak (B2) før det eventuelt inngås kontrakt.</w:t>
              </w:r>
            </w:p>
            <w:p>
              <w:pPr>
                <w:spacing w:after="160"/>
              </w:pPr>
              <w:r>
                <w:t xml:space="preserve">Det er derfor nærliggende å tro at det anslagsvis vil gå 2 - 3 måneder før inngåelse av kontrakt. Deretter må prosjektet bearbeides og detaljeres før det kan innhentes byggetillatelse. Byggestart vil da kunne bli vår 2027. Byggetiden antas å kunne være rundt 6 – 8 måneder. Boliger på Blåveiskroken vil dermed kunne tas i bruk vinter 2027.</w:t>
              </w:r>
            </w:p>
            <w:p>
              <w:pPr>
                <w:spacing w:after="160"/>
              </w:pPr>
              <w:r>
                <w:t xml:space="preserve">En mer konkret framdriftsplan vil bli lagt fram i sak om investeringsbeslutning (B2).</w:t>
              </w:r>
            </w:p>
            <w:p>
              <w:pPr>
                <w:spacing w:after="160"/>
              </w:pPr>
              <w:r>
                <w:rPr>
                  <w:b/>
                </w:rPr>
                <w:t xml:space="preserve">Kommunedirektørens vurdering</w:t>
              </w:r>
            </w:p>
            <w:p>
              <w:pPr>
                <w:spacing w:after="160"/>
              </w:pPr>
              <w:r>
                <w:t xml:space="preserve">Kommunen har et medvirkningsansvar til å skaffe bolig til dem som ikke er i stand til å klare å skaffe seg en bolig i markedet på egen hånd. Å skaffe seg en bolig er den enkeltes ansvar, men det offentlige skal bistå vanskeligstilte når situasjonen krever dette.</w:t>
              </w:r>
            </w:p>
            <w:p>
              <w:pPr>
                <w:spacing w:after="160"/>
              </w:pPr>
              <w:r>
                <w:t xml:space="preserve">Denne saken dreier seg om å kunne gi et godt og forsvarlig tilbud til en liten gruppe brukere med svært sammensatte utfordringer.</w:t>
              </w:r>
            </w:p>
            <w:p>
              <w:pPr>
                <w:spacing w:after="160"/>
              </w:pPr>
              <w:r>
                <w:t xml:space="preserve">Kommunedirektøren mener at man i Blåveiskroken har funnet et godt egnet sted for å etablere et bo- og omsorgstilbud. Samtidig er det en kjensgjerning at bygningene kun kan støtte opp om tjenestene, og at den kritiske suksessfaktoren vil være organisering og tilstrekkelige ressurser knyttet til driften av tiltaket.</w:t>
              </w:r>
            </w:p>
            <w:p>
              <w:pPr>
                <w:spacing w:after="160"/>
              </w:pPr>
              <w:r>
                <w:t xml:space="preserve">Kommunedirektørens forslag til innstilling framgår av sakens første side.</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Småhus - rom og funksjonsprogram (B1) </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