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26/9453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Alf Ørjan Glesnes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10.08.2026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Plan for bruker- og pårørendeundersøkelser i helse og mestring 2026-2029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Eldrerådet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Råd for personer med funksjonsnedsettelse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helse og omsorg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1.      Forslag til gjennomføring av nye bruker- og pårørendeundersøkelse tas til orientering.  </w:t>
              </w:r>
            </w:p>
            <w:p>
              <w:pPr>
                <w:spacing w:after="160"/>
              </w:pPr>
              <w:r>
                <w:t xml:space="preserve">2.      Resultater fra bruker- og pårørendeundersøkelser legges frem for utvalg og helse og omsorg. 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Porsgrunn kommune har gjennomført bruker- og pårørendeundersøkelser i ulike områder og virksomheter. Etter sak 05/24 i utvalg for helse og omsorg, januar 2024, så har det blitt gjennomført undersøkelser etter vedtatt plan. Kommunedirektøren ønsker nå å legge frem ny plan for gjennomføring av bruker- og pårørendeundersøkelser fremover. 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Bruker- og pårørendeundersøkelser er en del av det systematiske arbeidet med kvalitetsforbedring. Undersøkelsene kan være til hjelp for å innhente informasjon til å kunne planlegge oppgaver, gi en oversikt over hvor det er risiko for svikt eller mangel på etterlevelse av myndighetskrav og vise områder hvor det er behov for forbedring av kvalitet i tjenestene.  </w:t>
              </w:r>
            </w:p>
            <w:p>
              <w:pPr>
                <w:spacing w:after="160"/>
              </w:pPr>
              <w:r>
                <w:t xml:space="preserve">Resultatet av brukerundersøkelsen vil være indikasjon på kvalitet i tjenestene. Kommunedirektøren legger frem sak om planlegging av brukerundersøkelser og resultatene av undersøkelsene for at politisk ledelse skal være kjent med status, i tillegg til at kommunedirektør og de enkelte områdene benytter dataene i det kontinuerlige forbedringsarbeidet. </w:t>
              </w:r>
            </w:p>
            <w:p>
              <w:pPr>
                <w:spacing w:after="160"/>
              </w:pPr>
              <w:r>
                <w:t xml:space="preserve">Porsgrunn kommune benytter brukerundersøkelsen fra KS/Bedre kommune som har vært brukt tidligere. Vi kan sammenligne resultatene med tidligere undersøkelse i Porsgrunn kommune og med resultat for hele landet.  </w:t>
              </w:r>
            </w:p>
            <w:p>
              <w:pPr>
                <w:spacing w:after="160"/>
              </w:pPr>
              <w:r>
                <w:t xml:space="preserve">Det har tidligere blitt bestemt at det skal gjennomføres brukerundersøkelse hvert tredje (3) år, dette er en frekvens som ønskes å opprettholdes; Dette er med hensyn til samlet ressursbruk til gjennomføring og analysering av undersøkelsene. </w:t>
              </w:r>
            </w:p>
            <w:p>
              <w:pPr>
                <w:spacing w:after="160"/>
              </w:pPr>
              <w:r>
                <w:t xml:space="preserve">Forslag til gjennomføring av ulike bruker- og pårørendeundersøkelse: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2935.8"/>
                <w:gridCol w:w="2709.9"/>
                <w:gridCol w:w="1549.8"/>
                <w:gridCol w:w="1804.5"/>
              </w:tblGrid>
              <w:tr>
                <w:trPr>
                  <w:trHeight w:val="435" w:hRule="atLeast"/>
                </w:trPr>
                <w:tc>
                  <w:tcPr>
                    <w:tcW w:w="2560" w:type="auto"/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Hvor</w:t>
                    </w:r>
                    <w:r>
                      <w:t xml:space="preserve"> </w:t>
                    </w:r>
                  </w:p>
                </w:tc>
                <w:tc>
                  <w:tcPr>
                    <w:tcW w:w="308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Type undersøkelse</w:t>
                    </w:r>
                    <w:r>
                      <w:t xml:space="preserve"> </w:t>
                    </w:r>
                  </w:p>
                </w:tc>
                <w:tc>
                  <w:tcPr>
                    <w:tcW w:w="150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Sist gjennomført</w:t>
                    </w:r>
                    <w:r>
                      <w:t xml:space="preserve"> </w:t>
                    </w:r>
                  </w:p>
                </w:tc>
                <w:tc>
                  <w:tcPr>
                    <w:tcW w:w="1740" w:type="auto"/>
                    <w:tcBorders>
                      <w:top w:val="single" w:color="000000" w:sz="0"/>
                      <w:left w:val="non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Planlagt neste gjennomføring</w:t>
                    </w:r>
                    <w:r>
                      <w:t xml:space="preserve"> </w:t>
                    </w:r>
                  </w:p>
                </w:tc>
              </w:tr>
              <w:tr>
                <w:trPr>
                  <w:trHeight w:val="1140" w:hRule="atLeast"/>
                </w:trPr>
                <w:tc>
                  <w:tcPr>
                    <w:tcW w:w="256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Hjemmetjenester</w:t>
                    </w:r>
                  </w:p>
                </w:tc>
                <w:tc>
                  <w:tcPr>
                    <w:tcW w:w="308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Brukerundersøkelse </w:t>
                    </w:r>
                  </w:p>
                </w:tc>
                <w:tc>
                  <w:tcPr>
                    <w:tcW w:w="150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Vår 2026 </w:t>
                    </w:r>
                  </w:p>
                </w:tc>
                <w:tc>
                  <w:tcPr>
                    <w:tcW w:w="174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Vår 2029</w:t>
                    </w:r>
                  </w:p>
                </w:tc>
              </w:tr>
              <w:tr>
                <w:trPr>
                  <w:trHeight w:val="1140" w:hRule="atLeast"/>
                </w:trPr>
                <w:tc>
                  <w:tcPr>
                    <w:tcW w:w="256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Psykisk helse og rusomsorg </w:t>
                    </w:r>
                  </w:p>
                </w:tc>
                <w:tc>
                  <w:tcPr>
                    <w:tcW w:w="308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Brukerundersøkelse </w:t>
                    </w:r>
                  </w:p>
                </w:tc>
                <w:tc>
                  <w:tcPr>
                    <w:tcW w:w="150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 2024 </w:t>
                    </w:r>
                  </w:p>
                </w:tc>
                <w:tc>
                  <w:tcPr>
                    <w:tcW w:w="174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 2027  </w:t>
                    </w:r>
                  </w:p>
                </w:tc>
              </w:tr>
              <w:tr>
                <w:trPr>
                  <w:trHeight w:val="840" w:hRule="atLeast"/>
                </w:trPr>
                <w:tc>
                  <w:tcPr>
                    <w:tcW w:w="256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Sykehjem (langtid)</w:t>
                    </w:r>
                  </w:p>
                </w:tc>
                <w:tc>
                  <w:tcPr>
                    <w:tcW w:w="308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Pårørendeundersøkelser </w:t>
                    </w:r>
                  </w:p>
                </w:tc>
                <w:tc>
                  <w:tcPr>
                    <w:tcW w:w="150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Vår 2025 </w:t>
                    </w:r>
                  </w:p>
                </w:tc>
                <w:tc>
                  <w:tcPr>
                    <w:tcW w:w="174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Vår 2028</w:t>
                    </w:r>
                  </w:p>
                </w:tc>
              </w:tr>
              <w:tr>
                <w:trPr>
                  <w:trHeight w:val="150" w:hRule="atLeast"/>
                </w:trPr>
                <w:tc>
                  <w:tcPr>
                    <w:tcW w:w="256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Miljøarbeidertjenesten </w:t>
                    </w:r>
                  </w:p>
                </w:tc>
                <w:tc>
                  <w:tcPr>
                    <w:tcW w:w="308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Bruker- og pårørendeundersøkelser </w:t>
                    </w:r>
                  </w:p>
                </w:tc>
                <w:tc>
                  <w:tcPr>
                    <w:tcW w:w="150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 2025</w:t>
                    </w:r>
                  </w:p>
                </w:tc>
                <w:tc>
                  <w:tcPr>
                    <w:tcW w:w="174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 2028</w:t>
                    </w:r>
                  </w:p>
                </w:tc>
              </w:tr>
              <w:tr>
                <w:trPr>
                  <w:trHeight w:val="150" w:hRule="atLeast"/>
                </w:trPr>
                <w:tc>
                  <w:tcPr>
                    <w:tcW w:w="256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Familie og helse</w:t>
                    </w:r>
                  </w:p>
                </w:tc>
                <w:tc>
                  <w:tcPr>
                    <w:tcW w:w="308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Bruker- og pårørendeundersøkelser </w:t>
                    </w:r>
                  </w:p>
                </w:tc>
                <w:tc>
                  <w:tcPr>
                    <w:tcW w:w="150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2013</w:t>
                    </w:r>
                  </w:p>
                </w:tc>
                <w:tc>
                  <w:tcPr>
                    <w:tcW w:w="174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 2026 </w:t>
                    </w:r>
                    <w:r>
                      <w:br/>
                    </w:r>
                    <w:r>
                      <w:t xml:space="preserve">Høst 2029</w:t>
                    </w:r>
                  </w:p>
                </w:tc>
              </w:tr>
              <w:tr>
                <w:trPr>
                  <w:trHeight w:val="1125" w:hRule="atLeast"/>
                </w:trPr>
                <w:tc>
                  <w:tcPr>
                    <w:tcW w:w="256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Ergo- og fysioterapitjenesten </w:t>
                    </w:r>
                  </w:p>
                </w:tc>
                <w:tc>
                  <w:tcPr>
                    <w:tcW w:w="308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Brukerundersøkelse </w:t>
                    </w:r>
                  </w:p>
                </w:tc>
                <w:tc>
                  <w:tcPr>
                    <w:tcW w:w="150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Høst 2024</w:t>
                    </w:r>
                  </w:p>
                </w:tc>
                <w:tc>
                  <w:tcPr>
                    <w:tcW w:w="1740" w:type="auto"/>
                    <w:tcBorders>
                      <w:top w:val="none" w:color="000000" w:sz="0"/>
                      <w:left w:val="none" w:color="000000" w:sz="0"/>
                      <w:bottom w:val="single" w:color="A3A3A3" w:sz="4"/>
                      <w:right w:val="single" w:color="A3A3A3" w:sz="4"/>
                    </w:tcBorders>
                    <w:tcMar/>
                    <w:vAlign w:val="top"/>
                  </w:tcPr>
                  <w:p>
                    <w:pPr>
                      <w:spacing w:after="160"/>
                    </w:pPr>
                    <w:r>
                      <w:t xml:space="preserve">Vår 2027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Hvilken type undersøkelse, bruker- eller pårørendeundersøkelse, som gjennomføres er ut ifra hvilke undersøkelser som er tilgjengelig på KS/Bedre kommune – noen områder, som Miljøarbeidertjenesten, har begge undersøkelser tilgjengelige og har gjennomført begge. 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 </w:t>
                    </w:r>
                  </w:p>
                  <w:p>
                    <w:pPr>
                      <w:spacing w:after="160"/>
                    </w:pPr>
                    <w:r>
                      <w:t xml:space="preserve">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Økonomiske konsekvenser vurderes som nøytralt da det planlegges å bruke eksisterende ressurser i helse og omsorg til å gjennomføre undersøkelsene. Konsekvenser for folkehelsen vurderes positivt da resultatene av undersøkelsene kan føre til økt tjenestekvalitet.  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 for bruker- og pårørendeundersøkelser i helse og mestring 2026-2029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