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26/8469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01.07.2026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Felles retningslinjer for tilskuddsordninger i landbruket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Saken tas til orientering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Skien, Porsgrunn og Siljan kommuner har felles retningslinjer for bruk av økonomiske virkemidler innen landbruket. Retningslinjene gjelder forvaltning av SMIL-midler, NMSK-midler, tilskudd til drenering av jordbruksjord og tilskudd til tiltak i beiteområder i utmark.</w:t>
              </w:r>
            </w:p>
            <w:p>
              <w:pPr>
                <w:spacing w:after="160"/>
              </w:pPr>
              <w:r>
                <w:t xml:space="preserve">Retningslinjene har vært sendt på høring til næringsorganisasjonene, herunder bondelagene og skogeierlagene, med høringsfrist 5. mai. Det er ikke mottatt innspill i høringsperioden.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Retningslinjene skal bidra til en helhetlig, forutsigbar og faglig god forvaltning av de aktuelle tilskuddsordningene. De skal legges til grunn ved behandling av søknader om økonomiske virkemidler innen landbruket i Skien, Porsgrunn og Siljan kommuner.</w:t>
              </w:r>
            </w:p>
            <w:p>
              <w:pPr>
                <w:spacing w:after="160"/>
              </w:pPr>
              <w:r>
                <w:t xml:space="preserve">Tilskuddsordningene omfatter tiltak som skal bidra til å ivareta naturverdier, kulturminner, aktivt landbruk og god ressursforvaltning. Retningslinjene gir føringer for prioritering av tiltak og skal sikre lik praksis på tvers av de tre kommunene.</w:t>
              </w:r>
            </w:p>
            <w:p>
              <w:pPr>
                <w:spacing w:after="160"/>
              </w:pPr>
              <w:r>
                <w:t xml:space="preserve">Retningslinjene omfatter følgende ordninger: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SMIL-midler, som gjelder spesielle miljøtiltak i jordbruket.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Tilskudd til drenering av jordbruksjord.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Tilskudd til tiltak i beiteområder i utmark.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NMSK-midler, som gjelder nærings- og miljøtiltak i skogbruket.</w:t>
              </w:r>
            </w:p>
            <w:p>
              <w:pPr>
                <w:spacing w:after="160"/>
              </w:pPr>
              <w:r>
                <w:t xml:space="preserve">Det er ikke kommet merknader eller innspill til retningslinjene i høringsperioden.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14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14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paragraph" w:styleId="ListParagraph">
    <w:name w:val="List Paragraph"/>
    <w:basedOn w:val="Normal"/>
    <w:qFormat/>
    <w:pPr>
      <w:ind w:star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numbering" Target="/word/numbering.xml" Id="R793f843961fd46b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Felles retningslinjer for tilskuddsordninger i landbruket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