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26/9584</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Terje Prytz</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12.08.2026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Status sykefravær i Porsgrunn kommune, 2. kvartal 2026</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Saken tas til orientering</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Denne orienteringssaken legges frem med bakgrunn i følgende vedtak i sak 06/26 Oppdatert rutine for økonomirapportering til formannskapet i Formannskapet 29.01.2026:</w:t>
              </w:r>
            </w:p>
            <w:p>
              <w:pPr>
                <w:spacing w:after="160"/>
              </w:pPr>
              <w:r>
                <w:rPr>
                  <w:i/>
                </w:rPr>
                <w:t xml:space="preserve">1. Orienteringssak om sykefravær legges frem hvert kvartal, i formannskap og administrasjonsutvalg Det skilles mellom egenmeldt og legemeldt fravær. </w:t>
              </w:r>
            </w:p>
          </w:sdtContent>
        </w:sdt>
        <w:sdt>
          <w:sdtPr>
            <w:alias w:val="SaksTekst"/>
            <w:tag w:val="SaksTekst"/>
            <w:id w:val="-1309477531"/>
          </w:sdtPr>
          <w:sdtContent>
            <w:p>
              <w:pPr>
                <w:spacing w:after="160"/>
              </w:pPr>
              <w:r>
                <w:rPr>
                  <w:b/>
                </w:rPr>
                <w:t xml:space="preserve">Saksfremstilling</w:t>
              </w:r>
            </w:p>
            <w:p>
              <w:pPr>
                <w:spacing w:after="160"/>
              </w:pPr>
              <w:r>
                <w:rPr>
                  <w:b/>
                </w:rPr>
                <w:t xml:space="preserve">Sykefravær – symptom og strategisk innsatsområde</w:t>
              </w:r>
            </w:p>
            <w:p>
              <w:pPr>
                <w:spacing w:after="160"/>
              </w:pPr>
              <w:r>
                <w:t xml:space="preserve">Nivå på sykefravær i en organisasjon kan være et sentralt symptom på hvordan arbeidshverdagen, arbeidsmiljøet og organiseringen av tjenestene fungerer. </w:t>
              </w:r>
              <w:r>
                <w:br/>
              </w:r>
              <w:r>
                <w:t xml:space="preserve">Som både NAV og KS peker på, påvirkes sykefraværet av sammensatte forhold knyttet til arbeidsbelastning, organisering av oppgaver, ledelse, partssamarbeid og det systematiske HMS-arbeidet på arbeidsplassen.</w:t>
              </w:r>
            </w:p>
            <w:p>
              <w:pPr>
                <w:spacing w:after="160"/>
              </w:pPr>
              <w:r>
                <w:t xml:space="preserve">I Porsgrunn kommune er innsatsen derfor rettet mot ulike forhold og er del av et langsiktig og forebyggende arbeid, særlig gjennom:</w:t>
              </w:r>
            </w:p>
            <w:p>
              <w:pPr>
                <w:spacing w:after="160"/>
              </w:pPr>
              <w:r>
                <w:t xml:space="preserve">Systematisk HMS-arbeid og internkontroll, God organisering og prioritering av arbeidet, Tydelig ledelse og tett oppfølging av ansatte, Organisasjonsutvikling og styrking av arbeidsmiljø og psykologisk trygghet.</w:t>
              </w:r>
            </w:p>
            <w:p>
              <w:pPr>
                <w:spacing w:after="160"/>
              </w:pPr>
              <w:r>
                <w:t xml:space="preserve">Sykefraværsarbeidet er integrert i det ordinære leder og linjeansvaret og understøttes av HR, bedriftshelsetjeneste og samarbeid med NAV Arbeidslivssenter, i tråd med nasjonale anbefalinger.</w:t>
              </w:r>
            </w:p>
            <w:p>
              <w:pPr>
                <w:spacing w:after="160"/>
              </w:pPr>
              <w:r>
                <w:t xml:space="preserve"> </w:t>
              </w:r>
            </w:p>
            <w:p>
              <w:pPr>
                <w:spacing w:after="160"/>
              </w:pPr>
              <w:r>
                <w:t xml:space="preserve">Flytskjema under viser rutine for oppfølging av sykmeldte i Porsgrunn kommune:</w:t>
              </w:r>
            </w:p>
            <w:p>
              <w:pPr>
                <w:spacing w:after="160"/>
              </w:pPr>
              <w:r>
                <w:drawing>
                  <wp:inline distT="0" distB="0" distL="0" distR="0">
                    <wp:extent cx="5715000" cy="4057650"/>
                    <wp:effectExtent l="19050" t="0" r="0" b="0"/>
                    <wp:docPr id="4"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3a4980665a0c4460"/>
                            <a:srcRect/>
                            <a:stretch>
                              <a:fillRect/>
                            </a:stretch>
                          </pic:blipFill>
                          <pic:spPr bwMode="auto">
                            <a:xfrm>
                              <a:off x="0" y="0"/>
                              <a:ext cx="5715000" cy="4057650"/>
                            </a:xfrm>
                            <a:prstGeom prst="rect">
                              <a:avLst/>
                            </a:prstGeom>
                          </pic:spPr>
                        </pic:pic>
                      </a:graphicData>
                    </a:graphic>
                  </wp:inline>
                </w:drawing>
              </w:r>
            </w:p>
            <w:p>
              <w:pPr>
                <w:spacing w:after="160"/>
              </w:pPr>
              <w:r>
                <w:rPr>
                  <w:b/>
                </w:rPr>
                <w:t xml:space="preserve">Porsgrunn kommune i sammenligning</w:t>
              </w:r>
            </w:p>
            <w:p>
              <w:pPr>
                <w:spacing w:after="160"/>
              </w:pPr>
              <w:r>
                <w:t xml:space="preserve">Porsgrunn kommune har over tid hatt lavere sykefravær enn mange sammenlignbare kommuner, både i Vestfold og Telemark og nasjonalt i kommunesektoren. </w:t>
              </w:r>
              <w:r>
                <w:br/>
              </w:r>
              <w:r>
                <w:t xml:space="preserve">Her er tall for 1. og 2.kvartal 2026. Tallene for 2. kvartal er månedene april, mai og juni.</w:t>
              </w:r>
            </w:p>
            <w:tbl>
              <w:tblPr>
                <w:tblStyle w:val="TableGrid"/>
                <w:tblW w:w="0" w:type="auto"/>
                <w:tblLook w:firstRow="false" w:lastRow="false" w:firstColumn="false" w:lastColumn="false"/>
              </w:tblPr>
              <w:tblGrid>
                <w:gridCol/>
                <w:gridCol/>
                <w:gridCol/>
                <w:gridCol/>
                <w:gridCol/>
                <w:gridCol/>
                <w:gridCol/>
              </w:tblGrid>
              <w:tr>
                <w:trPr>
                  <w:trHeight w:val="184" w:hRule="atLeast"/>
                </w:trPr>
                <w:tc>
                  <w:tcPr>
                    <w:tcW w:w="1480" w:type="auto"/>
                    <w:shd w:val="clear" w:color="auto" w:fill="FFFFFF"/>
                    <w:tcMar>
                      <w:top w:w="29" w:type="dxa"/>
                      <w:left w:w="45" w:type="dxa"/>
                      <w:bottom w:w="29" w:type="dxa"/>
                      <w:right w:w="45" w:type="dxa"/>
                    </w:tcMar>
                    <w:vAlign w:val="bottom"/>
                  </w:tcPr>
                  <w:p>
                    <w:pPr>
                      <w:spacing w:after="160"/>
                    </w:pPr>
                    <w:r>
                      <w:rPr>
                        <w:b/>
                        <w:shd w:val="clear" w:fill="FFFFFF"/>
                      </w:rPr>
                      <w:t xml:space="preserve">2026</w:t>
                    </w:r>
                  </w:p>
                </w:tc>
                <w:tc>
                  <w:tcPr>
                    <w:tcW w:w="1180" w:type="auto"/>
                    <w:tcBorders>
                      <w:top w:val="single" w:color="000000" w:sz="0"/>
                      <w:left w:val="none" w:color="000000" w:sz="0"/>
                      <w:bottom w:val="single" w:color="000000" w:sz="0"/>
                      <w:right w:val="single" w:color="000000" w:sz="0"/>
                    </w:tcBorders>
                    <w:shd w:val="clear" w:color="auto" w:fill="FFFFFF"/>
                    <w:tcMar>
                      <w:top w:w="29" w:type="dxa"/>
                      <w:left w:w="45" w:type="dxa"/>
                      <w:bottom w:w="29" w:type="dxa"/>
                      <w:right w:w="45" w:type="dxa"/>
                    </w:tcMar>
                    <w:vAlign w:val="bottom"/>
                  </w:tcPr>
                  <w:p>
                    <w:pPr>
                      <w:spacing w:after="160"/>
                    </w:pPr>
                    <w:r>
                      <w:rPr>
                        <w:shd w:val="clear" w:fill="FFFFFF"/>
                      </w:rPr>
                      <w:t xml:space="preserve">Januar</w:t>
                    </w:r>
                  </w:p>
                </w:tc>
                <w:tc>
                  <w:tcPr>
                    <w:tcW w:w="1240" w:type="auto"/>
                    <w:tcBorders>
                      <w:top w:val="single" w:color="000000" w:sz="0"/>
                      <w:left w:val="none" w:color="000000" w:sz="0"/>
                      <w:bottom w:val="single" w:color="000000" w:sz="0"/>
                      <w:right w:val="single" w:color="000000" w:sz="0"/>
                    </w:tcBorders>
                    <w:shd w:val="clear" w:color="auto" w:fill="FFFFFF"/>
                    <w:tcMar>
                      <w:top w:w="29" w:type="dxa"/>
                      <w:left w:w="45" w:type="dxa"/>
                      <w:bottom w:w="29" w:type="dxa"/>
                      <w:right w:w="45" w:type="dxa"/>
                    </w:tcMar>
                    <w:vAlign w:val="bottom"/>
                  </w:tcPr>
                  <w:p>
                    <w:pPr>
                      <w:spacing w:after="160"/>
                    </w:pPr>
                    <w:r>
                      <w:rPr>
                        <w:shd w:val="clear" w:fill="FFFFFF"/>
                      </w:rPr>
                      <w:t xml:space="preserve">Februar</w:t>
                    </w:r>
                  </w:p>
                </w:tc>
                <w:tc>
                  <w:tcPr>
                    <w:tcW w:w="1140" w:type="auto"/>
                    <w:tcBorders>
                      <w:top w:val="single" w:color="000000" w:sz="0"/>
                      <w:left w:val="none" w:color="000000" w:sz="0"/>
                      <w:bottom w:val="single" w:color="000000" w:sz="0"/>
                      <w:right w:val="single" w:color="000000" w:sz="0"/>
                    </w:tcBorders>
                    <w:shd w:val="clear" w:color="auto" w:fill="FFFFFF"/>
                    <w:tcMar>
                      <w:top w:w="29" w:type="dxa"/>
                      <w:left w:w="45" w:type="dxa"/>
                      <w:bottom w:w="29" w:type="dxa"/>
                      <w:right w:w="45" w:type="dxa"/>
                    </w:tcMar>
                    <w:vAlign w:val="bottom"/>
                  </w:tcPr>
                  <w:p>
                    <w:pPr>
                      <w:spacing w:after="160"/>
                    </w:pPr>
                    <w:r>
                      <w:rPr>
                        <w:shd w:val="clear" w:fill="FFFFFF"/>
                      </w:rPr>
                      <w:t xml:space="preserve">Mars</w:t>
                    </w:r>
                  </w:p>
                </w:tc>
                <w:tc>
                  <w:tcPr>
                    <w:tcW w:w="1360" w:type="auto"/>
                    <w:tcBorders>
                      <w:top w:val="single" w:color="000000" w:sz="0"/>
                      <w:left w:val="none" w:color="000000" w:sz="0"/>
                      <w:bottom w:val="single" w:color="000000" w:sz="0"/>
                      <w:right w:val="single" w:color="000000" w:sz="0"/>
                    </w:tcBorders>
                    <w:shd w:val="clear" w:color="auto" w:fill="FFFFFF"/>
                    <w:tcMar>
                      <w:top w:w="29" w:type="dxa"/>
                      <w:left w:w="45" w:type="dxa"/>
                      <w:bottom w:w="29" w:type="dxa"/>
                      <w:right w:w="45" w:type="dxa"/>
                    </w:tcMar>
                    <w:vAlign w:val="bottom"/>
                  </w:tcPr>
                  <w:p>
                    <w:pPr>
                      <w:spacing w:after="160"/>
                    </w:pPr>
                    <w:r>
                      <w:rPr>
                        <w:shd w:val="clear" w:fill="FFFFFF"/>
                      </w:rPr>
                      <w:t xml:space="preserve">April</w:t>
                    </w:r>
                  </w:p>
                </w:tc>
                <w:tc>
                  <w:tcPr>
                    <w:tcW w:w="1340" w:type="auto"/>
                    <w:tcBorders>
                      <w:top w:val="single" w:color="000000" w:sz="0"/>
                      <w:left w:val="none" w:color="000000" w:sz="0"/>
                      <w:bottom w:val="single" w:color="000000" w:sz="0"/>
                      <w:right w:val="single" w:color="000000" w:sz="0"/>
                    </w:tcBorders>
                    <w:shd w:val="clear" w:color="auto" w:fill="FFFFFF"/>
                    <w:tcMar>
                      <w:top w:w="29" w:type="dxa"/>
                      <w:left w:w="45" w:type="dxa"/>
                      <w:bottom w:w="29" w:type="dxa"/>
                      <w:right w:w="45" w:type="dxa"/>
                    </w:tcMar>
                    <w:vAlign w:val="bottom"/>
                  </w:tcPr>
                  <w:p>
                    <w:pPr>
                      <w:spacing w:after="160"/>
                    </w:pPr>
                    <w:r>
                      <w:rPr>
                        <w:shd w:val="clear" w:fill="FFFFFF"/>
                      </w:rPr>
                      <w:t xml:space="preserve">Mai</w:t>
                    </w:r>
                  </w:p>
                </w:tc>
                <w:tc>
                  <w:tcPr>
                    <w:tcW w:w="1360" w:type="auto"/>
                    <w:tcBorders>
                      <w:top w:val="single" w:color="000000" w:sz="0"/>
                      <w:left w:val="none" w:color="000000" w:sz="0"/>
                      <w:bottom w:val="single" w:color="000000" w:sz="0"/>
                      <w:right w:val="single" w:color="000000" w:sz="0"/>
                    </w:tcBorders>
                    <w:shd w:val="clear" w:color="auto" w:fill="FFFFFF"/>
                    <w:tcMar>
                      <w:top w:w="29" w:type="dxa"/>
                      <w:left w:w="45" w:type="dxa"/>
                      <w:bottom w:w="29" w:type="dxa"/>
                      <w:right w:w="45" w:type="dxa"/>
                    </w:tcMar>
                    <w:vAlign w:val="bottom"/>
                  </w:tcPr>
                  <w:p>
                    <w:pPr>
                      <w:spacing w:after="160"/>
                    </w:pPr>
                    <w:r>
                      <w:rPr>
                        <w:shd w:val="clear" w:fill="FFFFFF"/>
                      </w:rPr>
                      <w:t xml:space="preserve">Juni</w:t>
                    </w:r>
                  </w:p>
                </w:tc>
              </w:tr>
              <w:tr>
                <w:trPr>
                  <w:trHeight w:val="184" w:hRule="atLeast"/>
                </w:trPr>
                <w:tc>
                  <w:tcPr>
                    <w:tcW w:w="1480" w:type="auto"/>
                    <w:tcBorders>
                      <w:top w:val="none" w:color="000000" w:sz="0"/>
                      <w:left w:val="single" w:color="000000" w:sz="0"/>
                      <w:bottom w:val="single" w:color="000000" w:sz="0"/>
                      <w:right w:val="single" w:color="000000" w:sz="0"/>
                    </w:tcBorders>
                    <w:shd w:val="clear" w:color="auto" w:fill="FFFFFF"/>
                    <w:tcMar>
                      <w:top w:w="29" w:type="dxa"/>
                      <w:left w:w="45" w:type="dxa"/>
                      <w:bottom w:w="29" w:type="dxa"/>
                      <w:right w:w="45" w:type="dxa"/>
                    </w:tcMar>
                    <w:vAlign w:val="bottom"/>
                  </w:tcPr>
                  <w:p>
                    <w:pPr>
                      <w:spacing w:after="160"/>
                    </w:pPr>
                    <w:r>
                      <w:rPr>
                        <w:shd w:val="clear" w:fill="FFFFFF"/>
                      </w:rPr>
                      <w:t xml:space="preserve">Tønsberg</w:t>
                    </w:r>
                  </w:p>
                </w:tc>
                <w:tc>
                  <w:tcPr>
                    <w:tcW w:w="118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10,73 %</w:t>
                    </w:r>
                  </w:p>
                </w:tc>
                <w:tc>
                  <w:tcPr>
                    <w:tcW w:w="12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10,56 %</w:t>
                    </w:r>
                  </w:p>
                </w:tc>
                <w:tc>
                  <w:tcPr>
                    <w:tcW w:w="11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10,22 %</w:t>
                    </w:r>
                  </w:p>
                </w:tc>
                <w:tc>
                  <w:tcPr>
                    <w:tcW w:w="136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9,46 %</w:t>
                    </w:r>
                  </w:p>
                </w:tc>
                <w:tc>
                  <w:tcPr>
                    <w:tcW w:w="13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9,42 %</w:t>
                    </w:r>
                  </w:p>
                </w:tc>
                <w:tc>
                  <w:tcPr>
                    <w:tcW w:w="136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8,06 %</w:t>
                    </w:r>
                  </w:p>
                </w:tc>
              </w:tr>
              <w:tr>
                <w:trPr>
                  <w:trHeight w:val="184" w:hRule="atLeast"/>
                </w:trPr>
                <w:tc>
                  <w:tcPr>
                    <w:tcW w:w="1480" w:type="auto"/>
                    <w:tcBorders>
                      <w:top w:val="none" w:color="000000" w:sz="0"/>
                      <w:left w:val="single" w:color="000000" w:sz="0"/>
                      <w:bottom w:val="single" w:color="000000" w:sz="0"/>
                      <w:right w:val="single" w:color="000000" w:sz="0"/>
                    </w:tcBorders>
                    <w:shd w:val="clear" w:color="auto" w:fill="FFFFFF"/>
                    <w:tcMar>
                      <w:top w:w="29" w:type="dxa"/>
                      <w:left w:w="45" w:type="dxa"/>
                      <w:bottom w:w="29" w:type="dxa"/>
                      <w:right w:w="45" w:type="dxa"/>
                    </w:tcMar>
                    <w:vAlign w:val="bottom"/>
                  </w:tcPr>
                  <w:p>
                    <w:pPr>
                      <w:spacing w:after="160"/>
                    </w:pPr>
                    <w:r>
                      <w:rPr>
                        <w:shd w:val="clear" w:fill="FFFFFF"/>
                      </w:rPr>
                      <w:t xml:space="preserve">Færder</w:t>
                    </w:r>
                  </w:p>
                </w:tc>
                <w:tc>
                  <w:tcPr>
                    <w:tcW w:w="118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10,58 %</w:t>
                    </w:r>
                  </w:p>
                </w:tc>
                <w:tc>
                  <w:tcPr>
                    <w:tcW w:w="12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10,56 %</w:t>
                    </w:r>
                  </w:p>
                </w:tc>
                <w:tc>
                  <w:tcPr>
                    <w:tcW w:w="11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10,08 %</w:t>
                    </w:r>
                  </w:p>
                </w:tc>
                <w:tc>
                  <w:tcPr>
                    <w:tcW w:w="136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9,1 %</w:t>
                    </w:r>
                  </w:p>
                </w:tc>
                <w:tc>
                  <w:tcPr>
                    <w:tcW w:w="13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9,37 %</w:t>
                    </w:r>
                  </w:p>
                </w:tc>
                <w:tc>
                  <w:tcPr>
                    <w:tcW w:w="136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8,49 %</w:t>
                    </w:r>
                  </w:p>
                </w:tc>
              </w:tr>
              <w:tr>
                <w:trPr>
                  <w:trHeight w:val="184" w:hRule="atLeast"/>
                </w:trPr>
                <w:tc>
                  <w:tcPr>
                    <w:tcW w:w="1480" w:type="auto"/>
                    <w:tcBorders>
                      <w:top w:val="none" w:color="000000" w:sz="0"/>
                      <w:left w:val="single" w:color="000000" w:sz="0"/>
                      <w:bottom w:val="single" w:color="000000" w:sz="0"/>
                      <w:right w:val="single" w:color="000000" w:sz="0"/>
                    </w:tcBorders>
                    <w:shd w:val="clear" w:color="auto" w:fill="FFFFFF"/>
                    <w:tcMar>
                      <w:top w:w="29" w:type="dxa"/>
                      <w:left w:w="45" w:type="dxa"/>
                      <w:bottom w:w="29" w:type="dxa"/>
                      <w:right w:w="45" w:type="dxa"/>
                    </w:tcMar>
                    <w:vAlign w:val="bottom"/>
                  </w:tcPr>
                  <w:p>
                    <w:pPr>
                      <w:spacing w:after="160"/>
                    </w:pPr>
                    <w:r>
                      <w:rPr>
                        <w:shd w:val="clear" w:fill="FFFFFF"/>
                      </w:rPr>
                      <w:t xml:space="preserve">Holmestrand</w:t>
                    </w:r>
                  </w:p>
                </w:tc>
                <w:tc>
                  <w:tcPr>
                    <w:tcW w:w="118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11,30 %</w:t>
                    </w:r>
                  </w:p>
                </w:tc>
                <w:tc>
                  <w:tcPr>
                    <w:tcW w:w="12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11,00 %</w:t>
                    </w:r>
                  </w:p>
                </w:tc>
                <w:tc>
                  <w:tcPr>
                    <w:tcW w:w="11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10,80 %</w:t>
                    </w:r>
                  </w:p>
                </w:tc>
                <w:tc>
                  <w:tcPr>
                    <w:tcW w:w="136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10,1 %</w:t>
                    </w:r>
                  </w:p>
                </w:tc>
                <w:tc>
                  <w:tcPr>
                    <w:tcW w:w="13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10,3 %</w:t>
                    </w:r>
                  </w:p>
                </w:tc>
                <w:tc>
                  <w:tcPr>
                    <w:tcW w:w="136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9,6 %</w:t>
                    </w:r>
                  </w:p>
                </w:tc>
              </w:tr>
              <w:tr>
                <w:trPr>
                  <w:trHeight w:val="184" w:hRule="atLeast"/>
                </w:trPr>
                <w:tc>
                  <w:tcPr>
                    <w:tcW w:w="1480" w:type="auto"/>
                    <w:tcBorders>
                      <w:top w:val="none" w:color="000000" w:sz="0"/>
                      <w:left w:val="single" w:color="000000" w:sz="0"/>
                      <w:bottom w:val="single" w:color="000000" w:sz="0"/>
                      <w:right w:val="single" w:color="000000" w:sz="0"/>
                    </w:tcBorders>
                    <w:shd w:val="clear" w:color="auto" w:fill="FFFFFF"/>
                    <w:tcMar>
                      <w:top w:w="29" w:type="dxa"/>
                      <w:left w:w="45" w:type="dxa"/>
                      <w:bottom w:w="29" w:type="dxa"/>
                      <w:right w:w="45" w:type="dxa"/>
                    </w:tcMar>
                    <w:vAlign w:val="bottom"/>
                  </w:tcPr>
                  <w:p>
                    <w:pPr>
                      <w:spacing w:after="160"/>
                    </w:pPr>
                    <w:r>
                      <w:rPr>
                        <w:shd w:val="clear" w:fill="FFFFFF"/>
                      </w:rPr>
                      <w:t xml:space="preserve">Larvik</w:t>
                    </w:r>
                  </w:p>
                </w:tc>
                <w:tc>
                  <w:tcPr>
                    <w:tcW w:w="118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10,78 %</w:t>
                    </w:r>
                  </w:p>
                </w:tc>
                <w:tc>
                  <w:tcPr>
                    <w:tcW w:w="12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10,92 %</w:t>
                    </w:r>
                  </w:p>
                </w:tc>
                <w:tc>
                  <w:tcPr>
                    <w:tcW w:w="11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10,37 %</w:t>
                    </w:r>
                  </w:p>
                </w:tc>
                <w:tc>
                  <w:tcPr>
                    <w:tcW w:w="136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9,43 %</w:t>
                    </w:r>
                  </w:p>
                </w:tc>
                <w:tc>
                  <w:tcPr>
                    <w:tcW w:w="13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9,33 %</w:t>
                    </w:r>
                  </w:p>
                </w:tc>
                <w:tc>
                  <w:tcPr>
                    <w:tcW w:w="136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6,11 %</w:t>
                    </w:r>
                  </w:p>
                </w:tc>
              </w:tr>
              <w:tr>
                <w:trPr>
                  <w:trHeight w:val="184" w:hRule="atLeast"/>
                </w:trPr>
                <w:tc>
                  <w:tcPr>
                    <w:tcW w:w="1480" w:type="auto"/>
                    <w:tcBorders>
                      <w:top w:val="none" w:color="000000" w:sz="0"/>
                      <w:left w:val="single" w:color="000000" w:sz="0"/>
                      <w:bottom w:val="single" w:color="000000" w:sz="0"/>
                      <w:right w:val="single" w:color="000000" w:sz="0"/>
                    </w:tcBorders>
                    <w:shd w:val="clear" w:color="auto" w:fill="FFFFFF"/>
                    <w:tcMar>
                      <w:top w:w="29" w:type="dxa"/>
                      <w:left w:w="45" w:type="dxa"/>
                      <w:bottom w:w="29" w:type="dxa"/>
                      <w:right w:w="45" w:type="dxa"/>
                    </w:tcMar>
                    <w:vAlign w:val="bottom"/>
                  </w:tcPr>
                  <w:p>
                    <w:pPr>
                      <w:spacing w:after="160"/>
                    </w:pPr>
                    <w:r>
                      <w:rPr>
                        <w:shd w:val="clear" w:fill="FFFFFF"/>
                      </w:rPr>
                      <w:t xml:space="preserve">Sandefjord</w:t>
                    </w:r>
                  </w:p>
                </w:tc>
                <w:tc>
                  <w:tcPr>
                    <w:tcW w:w="118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10,72 %</w:t>
                    </w:r>
                  </w:p>
                </w:tc>
                <w:tc>
                  <w:tcPr>
                    <w:tcW w:w="12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11,18 %</w:t>
                    </w:r>
                  </w:p>
                </w:tc>
                <w:tc>
                  <w:tcPr>
                    <w:tcW w:w="11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10,81 %</w:t>
                    </w:r>
                  </w:p>
                </w:tc>
                <w:tc>
                  <w:tcPr>
                    <w:tcW w:w="136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9,7 %</w:t>
                    </w:r>
                  </w:p>
                </w:tc>
                <w:tc>
                  <w:tcPr>
                    <w:tcW w:w="13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9,49 %</w:t>
                    </w:r>
                  </w:p>
                </w:tc>
                <w:tc>
                  <w:tcPr>
                    <w:tcW w:w="136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9,13 %</w:t>
                    </w:r>
                  </w:p>
                </w:tc>
              </w:tr>
              <w:tr>
                <w:trPr>
                  <w:trHeight w:val="184" w:hRule="atLeast"/>
                </w:trPr>
                <w:tc>
                  <w:tcPr>
                    <w:tcW w:w="1480" w:type="auto"/>
                    <w:tcBorders>
                      <w:top w:val="none" w:color="000000" w:sz="0"/>
                      <w:left w:val="single" w:color="000000" w:sz="0"/>
                      <w:bottom w:val="single" w:color="000000" w:sz="0"/>
                      <w:right w:val="single" w:color="000000" w:sz="0"/>
                    </w:tcBorders>
                    <w:shd w:val="clear" w:color="auto" w:fill="FFFFFF"/>
                    <w:tcMar>
                      <w:top w:w="29" w:type="dxa"/>
                      <w:left w:w="45" w:type="dxa"/>
                      <w:bottom w:w="29" w:type="dxa"/>
                      <w:right w:w="45" w:type="dxa"/>
                    </w:tcMar>
                    <w:vAlign w:val="bottom"/>
                  </w:tcPr>
                  <w:p>
                    <w:pPr>
                      <w:spacing w:after="160"/>
                    </w:pPr>
                    <w:r>
                      <w:rPr>
                        <w:shd w:val="clear" w:fill="FFFFFF"/>
                      </w:rPr>
                      <w:t xml:space="preserve">Skien</w:t>
                    </w:r>
                  </w:p>
                </w:tc>
                <w:tc>
                  <w:tcPr>
                    <w:tcW w:w="118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11,60 %</w:t>
                    </w:r>
                  </w:p>
                </w:tc>
                <w:tc>
                  <w:tcPr>
                    <w:tcW w:w="12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11,70 %</w:t>
                    </w:r>
                  </w:p>
                </w:tc>
                <w:tc>
                  <w:tcPr>
                    <w:tcW w:w="11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12,00 %</w:t>
                    </w:r>
                  </w:p>
                </w:tc>
                <w:tc>
                  <w:tcPr>
                    <w:tcW w:w="136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11.0 %</w:t>
                    </w:r>
                  </w:p>
                </w:tc>
                <w:tc>
                  <w:tcPr>
                    <w:tcW w:w="13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10.9 %</w:t>
                    </w:r>
                  </w:p>
                </w:tc>
                <w:tc>
                  <w:tcPr>
                    <w:tcW w:w="136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10.5 %</w:t>
                    </w:r>
                  </w:p>
                </w:tc>
              </w:tr>
              <w:tr>
                <w:trPr>
                  <w:trHeight w:val="184" w:hRule="atLeast"/>
                </w:trPr>
                <w:tc>
                  <w:tcPr>
                    <w:tcW w:w="1480" w:type="auto"/>
                    <w:tcBorders>
                      <w:top w:val="none" w:color="000000" w:sz="0"/>
                      <w:left w:val="single" w:color="000000" w:sz="0"/>
                      <w:bottom w:val="single" w:color="000000" w:sz="0"/>
                      <w:right w:val="single" w:color="000000" w:sz="0"/>
                    </w:tcBorders>
                    <w:shd w:val="clear" w:color="auto" w:fill="FFFFFF"/>
                    <w:tcMar>
                      <w:top w:w="29" w:type="dxa"/>
                      <w:left w:w="45" w:type="dxa"/>
                      <w:bottom w:w="29" w:type="dxa"/>
                      <w:right w:w="45" w:type="dxa"/>
                    </w:tcMar>
                    <w:vAlign w:val="bottom"/>
                  </w:tcPr>
                  <w:p>
                    <w:pPr>
                      <w:spacing w:after="160"/>
                    </w:pPr>
                    <w:r>
                      <w:rPr>
                        <w:shd w:val="clear" w:fill="FFFFFF"/>
                      </w:rPr>
                      <w:t xml:space="preserve">Porsgrunn</w:t>
                    </w:r>
                  </w:p>
                </w:tc>
                <w:tc>
                  <w:tcPr>
                    <w:tcW w:w="118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8,61 %</w:t>
                    </w:r>
                  </w:p>
                </w:tc>
                <w:tc>
                  <w:tcPr>
                    <w:tcW w:w="12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8,72 %</w:t>
                    </w:r>
                  </w:p>
                </w:tc>
                <w:tc>
                  <w:tcPr>
                    <w:tcW w:w="11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8,24 %</w:t>
                    </w:r>
                  </w:p>
                </w:tc>
                <w:tc>
                  <w:tcPr>
                    <w:tcW w:w="136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8.20 %</w:t>
                    </w:r>
                  </w:p>
                </w:tc>
                <w:tc>
                  <w:tcPr>
                    <w:tcW w:w="13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6.94 %</w:t>
                    </w:r>
                  </w:p>
                </w:tc>
                <w:tc>
                  <w:tcPr>
                    <w:tcW w:w="136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5.98 %</w:t>
                    </w:r>
                  </w:p>
                </w:tc>
              </w:tr>
              <w:tr>
                <w:trPr>
                  <w:trHeight w:val="184" w:hRule="atLeast"/>
                </w:trPr>
                <w:tc>
                  <w:tcPr>
                    <w:tcW w:w="1480" w:type="auto"/>
                    <w:tcBorders>
                      <w:top w:val="none" w:color="000000" w:sz="0"/>
                      <w:left w:val="single" w:color="000000" w:sz="0"/>
                      <w:bottom w:val="single" w:color="000000" w:sz="0"/>
                      <w:right w:val="single" w:color="000000" w:sz="0"/>
                    </w:tcBorders>
                    <w:shd w:val="clear" w:color="auto" w:fill="FFFFFF"/>
                    <w:tcMar>
                      <w:top w:w="29" w:type="dxa"/>
                      <w:left w:w="45" w:type="dxa"/>
                      <w:bottom w:w="29" w:type="dxa"/>
                      <w:right w:w="45" w:type="dxa"/>
                    </w:tcMar>
                    <w:vAlign w:val="bottom"/>
                  </w:tcPr>
                  <w:p>
                    <w:pPr>
                      <w:spacing w:after="160"/>
                    </w:pPr>
                    <w:r>
                      <w:rPr>
                        <w:shd w:val="clear" w:fill="FFFFFF"/>
                      </w:rPr>
                      <w:t xml:space="preserve">Horten</w:t>
                    </w:r>
                  </w:p>
                </w:tc>
                <w:tc>
                  <w:tcPr>
                    <w:tcW w:w="118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11,00 %</w:t>
                    </w:r>
                  </w:p>
                </w:tc>
                <w:tc>
                  <w:tcPr>
                    <w:tcW w:w="12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10,70 %</w:t>
                    </w:r>
                  </w:p>
                </w:tc>
                <w:tc>
                  <w:tcPr>
                    <w:tcW w:w="11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top"/>
                  </w:tcPr>
                  <w:p>
                    <w:pPr>
                      <w:spacing w:after="160"/>
                    </w:pPr>
                    <w:r>
                      <w:rPr>
                        <w:shd w:val="clear" w:fill="FFFFFF"/>
                      </w:rPr>
                      <w:t xml:space="preserve">10,30 %</w:t>
                    </w:r>
                  </w:p>
                </w:tc>
                <w:tc>
                  <w:tcPr>
                    <w:tcW w:w="136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9,7 %</w:t>
                    </w:r>
                  </w:p>
                </w:tc>
                <w:tc>
                  <w:tcPr>
                    <w:tcW w:w="134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10 %</w:t>
                    </w:r>
                  </w:p>
                </w:tc>
                <w:tc>
                  <w:tcPr>
                    <w:tcW w:w="1360" w:type="auto"/>
                    <w:tcBorders>
                      <w:top w:val="none" w:color="000000" w:sz="0"/>
                      <w:left w:val="none" w:color="000000" w:sz="0"/>
                      <w:bottom w:val="single" w:color="000000" w:sz="4"/>
                      <w:right w:val="single" w:color="000000" w:sz="4"/>
                    </w:tcBorders>
                    <w:shd w:val="clear" w:color="auto" w:fill="FFFFFF"/>
                    <w:tcMar>
                      <w:top w:w="29" w:type="dxa"/>
                      <w:left w:w="45" w:type="dxa"/>
                      <w:bottom w:w="29" w:type="dxa"/>
                      <w:right w:w="45" w:type="dxa"/>
                    </w:tcMar>
                    <w:vAlign w:val="bottom"/>
                  </w:tcPr>
                  <w:p>
                    <w:pPr>
                      <w:spacing w:after="160"/>
                    </w:pPr>
                    <w:r>
                      <w:rPr>
                        <w:shd w:val="clear" w:fill="FFFFFF"/>
                      </w:rPr>
                      <w:t xml:space="preserve">9,3 %</w:t>
                    </w:r>
                  </w:p>
                </w:tc>
              </w:tr>
            </w:tbl>
            <w:p>
              <w:pPr>
                <w:spacing w:after="160"/>
              </w:pPr>
              <w:r>
                <w:t xml:space="preserve"> </w:t>
              </w:r>
            </w:p>
            <w:p>
              <w:pPr>
                <w:spacing w:after="160"/>
              </w:pPr>
              <w:r>
                <w:t xml:space="preserve">Porsgrunn kommunes sykefraværstall blir fortløpende publisert i Framsikt, og rapporteres kvartalsvis. Lenken nedenfor viser månedlige sykefraværstall som publiseres forløpende.      </w:t>
              </w:r>
            </w:p>
            <w:p>
              <w:pPr>
                <w:spacing w:after="160"/>
              </w:pPr>
              <w:hyperlink w:history="true" r:id="R5a49f77cfd2d439d">
                <w:r>
                  <w:rPr>
                    <w:rStyle w:val="Hyperlink"/>
                  </w:rPr>
                  <w:t xml:space="preserve">Lenke</w:t>
                </w:r>
              </w:hyperlink>
              <w:r>
                <w:t xml:space="preserve">  </w:t>
              </w:r>
            </w:p>
            <w:p>
              <w:pPr>
                <w:spacing w:after="160"/>
              </w:pPr>
              <w:r>
                <w:rPr>
                  <w:b/>
                </w:rPr>
                <w:t xml:space="preserve">Sykefraværstrend for Porsgrunn kommune:  </w:t>
              </w:r>
            </w:p>
            <w:p>
              <w:pPr>
                <w:spacing w:after="160"/>
              </w:pPr>
              <w:r>
                <w:t xml:space="preserve">Tallene for 2. kvartal 2026 viser en fortsatt positiv utvikling i sykefraværet i Porsgrunn kommune. Sykefraværet i Porsgrunn kommune var 6.99 prosentpoeng i 2. kvartal 2026. Dette utgjør en nedgang på 0,38 prosentpoeng sammenlignet med 2. kvartal 2025. Siden Helse og omsorg er et så stort kommunalområde, så er det de som bidrar til nedgangen.</w:t>
              </w:r>
            </w:p>
            <w:p>
              <w:pPr>
                <w:spacing w:after="160"/>
              </w:pPr>
              <w:r>
                <w:t xml:space="preserve">Nedgangen i det totale sykefraværet i 2. kvartal 2026 skyldes både redusert korttidssykefravær og langtidssykefravær. </w:t>
              </w:r>
            </w:p>
            <w:p>
              <w:pPr>
                <w:spacing w:after="160"/>
              </w:pPr>
              <w:r>
                <w:t xml:space="preserve">Sykefraværstallene for 2. kvartal 2026 i Porsgrunn kommune fordelt på rammeområder:</w:t>
              </w:r>
              <w:r>
                <w:rPr>
                  <w:b/>
                </w:rPr>
                <w:t xml:space="preserve"> </w:t>
              </w:r>
            </w:p>
            <w:tbl>
              <w:tblPr>
                <w:tblStyle w:val="TableGrid"/>
                <w:tblW w:w="9000" w:type="dxa"/>
                <w:tblBorders>
                  <w:top w:val="single" w:color="000000" w:sz="4"/>
                  <w:left w:val="single" w:color="000000" w:sz="4"/>
                  <w:bottom w:val="single" w:color="000000" w:sz="4"/>
                  <w:right w:val="single" w:color="000000" w:sz="4"/>
                </w:tblBorders>
                <w:tblLook w:firstRow="false" w:lastRow="false" w:firstColumn="false" w:lastColumn="false"/>
              </w:tblPr>
              <w:tblGrid>
                <w:gridCol/>
                <w:gridCol/>
                <w:gridCol/>
                <w:gridCol/>
                <w:gridCol/>
                <w:gridCol/>
              </w:tblGrid>
              <w:tr>
                <w:trPr>
                  <w:tblCellSpacing w:w="0" w:type="dxa"/>
                </w:trPr>
                <w:tc>
                  <w:tcPr>
                    <w:tcW w:w="3100" w:type="auto"/>
                    <w:tcMar>
                      <w:left w:w="108" w:type="dxa"/>
                      <w:right w:w="108" w:type="dxa"/>
                    </w:tcMar>
                    <w:vAlign w:val="bottom"/>
                  </w:tcPr>
                  <w:p>
                    <w:pPr>
                      <w:spacing w:after="160"/>
                    </w:pPr>
                    <w:r>
                      <w:t xml:space="preserve"> </w:t>
                    </w:r>
                  </w:p>
                </w:tc>
                <w:tc>
                  <w:tcPr>
                    <w:tcW w:w="1020" w:type="auto"/>
                    <w:tcMar>
                      <w:left w:w="108" w:type="dxa"/>
                      <w:right w:w="108" w:type="dxa"/>
                    </w:tcMar>
                    <w:vAlign w:val="bottom"/>
                  </w:tcPr>
                  <w:p>
                    <w:pPr>
                      <w:spacing w:after="160"/>
                    </w:pPr>
                    <w:r>
                      <w:t xml:space="preserve">April</w:t>
                    </w:r>
                  </w:p>
                </w:tc>
                <w:tc>
                  <w:tcPr>
                    <w:tcW w:w="1020" w:type="auto"/>
                    <w:tcMar>
                      <w:left w:w="108" w:type="dxa"/>
                      <w:right w:w="108" w:type="dxa"/>
                    </w:tcMar>
                    <w:vAlign w:val="bottom"/>
                  </w:tcPr>
                  <w:p>
                    <w:pPr>
                      <w:spacing w:after="160"/>
                    </w:pPr>
                    <w:r>
                      <w:t xml:space="preserve">Mai</w:t>
                    </w:r>
                  </w:p>
                </w:tc>
                <w:tc>
                  <w:tcPr>
                    <w:tcW w:w="1020" w:type="auto"/>
                    <w:tcMar>
                      <w:left w:w="108" w:type="dxa"/>
                      <w:right w:w="108" w:type="dxa"/>
                    </w:tcMar>
                    <w:vAlign w:val="bottom"/>
                  </w:tcPr>
                  <w:p>
                    <w:pPr>
                      <w:spacing w:after="160"/>
                    </w:pPr>
                    <w:r>
                      <w:t xml:space="preserve">Juni</w:t>
                    </w:r>
                  </w:p>
                </w:tc>
                <w:tc>
                  <w:tcPr>
                    <w:tcW w:w="1460" w:type="auto"/>
                    <w:tcMar>
                      <w:left w:w="108" w:type="dxa"/>
                      <w:right w:w="108" w:type="dxa"/>
                    </w:tcMar>
                    <w:vAlign w:val="bottom"/>
                  </w:tcPr>
                  <w:p>
                    <w:pPr>
                      <w:spacing w:after="160"/>
                    </w:pPr>
                    <w:r>
                      <w:rPr>
                        <w:b/>
                      </w:rPr>
                      <w:t xml:space="preserve">2. kvartal 2026 </w:t>
                    </w:r>
                  </w:p>
                </w:tc>
                <w:tc>
                  <w:tcPr>
                    <w:tcW w:w="1440" w:type="auto"/>
                    <w:tcMar>
                      <w:left w:w="108" w:type="dxa"/>
                      <w:right w:w="108" w:type="dxa"/>
                    </w:tcMar>
                    <w:vAlign w:val="bottom"/>
                  </w:tcPr>
                  <w:p>
                    <w:pPr>
                      <w:spacing w:after="160"/>
                    </w:pPr>
                    <w:r>
                      <w:t xml:space="preserve">2. kvartal 2025 </w:t>
                    </w:r>
                  </w:p>
                </w:tc>
              </w:tr>
              <w:tr>
                <w:trPr>
                  <w:tblCellSpacing w:w="0" w:type="dxa"/>
                </w:trPr>
                <w:tc>
                  <w:tcPr>
                    <w:tcW w:w="3100" w:type="auto"/>
                    <w:tcMar>
                      <w:left w:w="108" w:type="dxa"/>
                      <w:right w:w="108" w:type="dxa"/>
                    </w:tcMar>
                    <w:vAlign w:val="bottom"/>
                  </w:tcPr>
                  <w:p>
                    <w:pPr>
                      <w:spacing w:after="160"/>
                    </w:pPr>
                    <w:r>
                      <w:rPr>
                        <w:b/>
                      </w:rPr>
                      <w:t xml:space="preserve">Politikk og administrasjon </w:t>
                    </w:r>
                  </w:p>
                </w:tc>
                <w:tc>
                  <w:tcPr>
                    <w:tcW w:w="1020" w:type="auto"/>
                    <w:tcMar>
                      <w:left w:w="108" w:type="dxa"/>
                      <w:right w:w="108" w:type="dxa"/>
                    </w:tcMar>
                    <w:vAlign w:val="bottom"/>
                  </w:tcPr>
                  <w:p>
                    <w:pPr>
                      <w:spacing w:after="160"/>
                    </w:pPr>
                    <w:r>
                      <w:t xml:space="preserve">4.77 %</w:t>
                    </w:r>
                  </w:p>
                </w:tc>
                <w:tc>
                  <w:tcPr>
                    <w:tcW w:w="1020" w:type="auto"/>
                    <w:tcMar>
                      <w:left w:w="108" w:type="dxa"/>
                      <w:right w:w="108" w:type="dxa"/>
                    </w:tcMar>
                    <w:vAlign w:val="bottom"/>
                  </w:tcPr>
                  <w:p>
                    <w:pPr>
                      <w:spacing w:after="160"/>
                    </w:pPr>
                    <w:r>
                      <w:t xml:space="preserve">4.63 %</w:t>
                    </w:r>
                  </w:p>
                </w:tc>
                <w:tc>
                  <w:tcPr>
                    <w:tcW w:w="1020" w:type="auto"/>
                    <w:tcMar>
                      <w:left w:w="108" w:type="dxa"/>
                      <w:right w:w="108" w:type="dxa"/>
                    </w:tcMar>
                    <w:vAlign w:val="bottom"/>
                  </w:tcPr>
                  <w:p>
                    <w:pPr>
                      <w:spacing w:after="160"/>
                    </w:pPr>
                    <w:r>
                      <w:t xml:space="preserve">5.42 %</w:t>
                    </w:r>
                  </w:p>
                </w:tc>
                <w:tc>
                  <w:tcPr>
                    <w:tcW w:w="1460" w:type="auto"/>
                    <w:tcMar>
                      <w:left w:w="108" w:type="dxa"/>
                      <w:right w:w="108" w:type="dxa"/>
                    </w:tcMar>
                    <w:vAlign w:val="bottom"/>
                  </w:tcPr>
                  <w:p>
                    <w:pPr>
                      <w:spacing w:after="160"/>
                    </w:pPr>
                    <w:r>
                      <w:t xml:space="preserve">4.97 %</w:t>
                    </w:r>
                  </w:p>
                </w:tc>
                <w:tc>
                  <w:tcPr>
                    <w:tcW w:w="1440" w:type="auto"/>
                    <w:tcMar>
                      <w:left w:w="108" w:type="dxa"/>
                      <w:right w:w="108" w:type="dxa"/>
                    </w:tcMar>
                    <w:vAlign w:val="bottom"/>
                  </w:tcPr>
                  <w:p>
                    <w:pPr>
                      <w:spacing w:after="160"/>
                    </w:pPr>
                    <w:r>
                      <w:t xml:space="preserve">5.66 %</w:t>
                    </w:r>
                  </w:p>
                </w:tc>
              </w:tr>
              <w:tr>
                <w:trPr>
                  <w:tblCellSpacing w:w="0" w:type="dxa"/>
                </w:trPr>
                <w:tc>
                  <w:tcPr>
                    <w:tcW w:w="3100" w:type="auto"/>
                    <w:tcMar>
                      <w:left w:w="108" w:type="dxa"/>
                      <w:right w:w="108" w:type="dxa"/>
                    </w:tcMar>
                    <w:vAlign w:val="bottom"/>
                  </w:tcPr>
                  <w:p>
                    <w:pPr>
                      <w:spacing w:after="160"/>
                    </w:pPr>
                    <w:r>
                      <w:rPr>
                        <w:b/>
                      </w:rPr>
                      <w:t xml:space="preserve">Barn, unge og kultur </w:t>
                    </w:r>
                  </w:p>
                </w:tc>
                <w:tc>
                  <w:tcPr>
                    <w:tcW w:w="1020" w:type="auto"/>
                    <w:tcMar>
                      <w:left w:w="108" w:type="dxa"/>
                      <w:right w:w="108" w:type="dxa"/>
                    </w:tcMar>
                    <w:vAlign w:val="bottom"/>
                  </w:tcPr>
                  <w:p>
                    <w:pPr>
                      <w:spacing w:after="160"/>
                    </w:pPr>
                    <w:r>
                      <w:t xml:space="preserve">8.41 %</w:t>
                    </w:r>
                  </w:p>
                </w:tc>
                <w:tc>
                  <w:tcPr>
                    <w:tcW w:w="1020" w:type="auto"/>
                    <w:tcMar>
                      <w:left w:w="108" w:type="dxa"/>
                      <w:right w:w="108" w:type="dxa"/>
                    </w:tcMar>
                    <w:vAlign w:val="bottom"/>
                  </w:tcPr>
                  <w:p>
                    <w:pPr>
                      <w:spacing w:after="160"/>
                    </w:pPr>
                    <w:r>
                      <w:t xml:space="preserve">7.06 %</w:t>
                    </w:r>
                  </w:p>
                </w:tc>
                <w:tc>
                  <w:tcPr>
                    <w:tcW w:w="1020" w:type="auto"/>
                    <w:tcMar>
                      <w:left w:w="108" w:type="dxa"/>
                      <w:right w:w="108" w:type="dxa"/>
                    </w:tcMar>
                    <w:vAlign w:val="bottom"/>
                  </w:tcPr>
                  <w:p>
                    <w:pPr>
                      <w:spacing w:after="160"/>
                    </w:pPr>
                    <w:r>
                      <w:t xml:space="preserve">5.65 %</w:t>
                    </w:r>
                  </w:p>
                </w:tc>
                <w:tc>
                  <w:tcPr>
                    <w:tcW w:w="1460" w:type="auto"/>
                    <w:tcMar>
                      <w:left w:w="108" w:type="dxa"/>
                      <w:right w:w="108" w:type="dxa"/>
                    </w:tcMar>
                    <w:vAlign w:val="bottom"/>
                  </w:tcPr>
                  <w:p>
                    <w:pPr>
                      <w:spacing w:after="160"/>
                    </w:pPr>
                    <w:r>
                      <w:t xml:space="preserve">6.97 %</w:t>
                    </w:r>
                  </w:p>
                </w:tc>
                <w:tc>
                  <w:tcPr>
                    <w:tcW w:w="1440" w:type="auto"/>
                    <w:tcMar>
                      <w:left w:w="108" w:type="dxa"/>
                      <w:right w:w="108" w:type="dxa"/>
                    </w:tcMar>
                    <w:vAlign w:val="bottom"/>
                  </w:tcPr>
                  <w:p>
                    <w:pPr>
                      <w:spacing w:after="160"/>
                    </w:pPr>
                    <w:r>
                      <w:t xml:space="preserve">6.73 %</w:t>
                    </w:r>
                  </w:p>
                </w:tc>
              </w:tr>
              <w:tr>
                <w:trPr>
                  <w:tblCellSpacing w:w="0" w:type="dxa"/>
                </w:trPr>
                <w:tc>
                  <w:tcPr>
                    <w:tcW w:w="3100" w:type="auto"/>
                    <w:tcMar>
                      <w:left w:w="108" w:type="dxa"/>
                      <w:right w:w="108" w:type="dxa"/>
                    </w:tcMar>
                    <w:vAlign w:val="bottom"/>
                  </w:tcPr>
                  <w:p>
                    <w:pPr>
                      <w:spacing w:after="160"/>
                    </w:pPr>
                    <w:r>
                      <w:rPr>
                        <w:b/>
                      </w:rPr>
                      <w:t xml:space="preserve">Helse og omsorg </w:t>
                    </w:r>
                  </w:p>
                </w:tc>
                <w:tc>
                  <w:tcPr>
                    <w:tcW w:w="1020" w:type="auto"/>
                    <w:tcMar>
                      <w:left w:w="108" w:type="dxa"/>
                      <w:right w:w="108" w:type="dxa"/>
                    </w:tcMar>
                    <w:vAlign w:val="bottom"/>
                  </w:tcPr>
                  <w:p>
                    <w:pPr>
                      <w:spacing w:after="160"/>
                    </w:pPr>
                    <w:r>
                      <w:t xml:space="preserve">8.95 %</w:t>
                    </w:r>
                  </w:p>
                </w:tc>
                <w:tc>
                  <w:tcPr>
                    <w:tcW w:w="1020" w:type="auto"/>
                    <w:tcMar>
                      <w:left w:w="108" w:type="dxa"/>
                      <w:right w:w="108" w:type="dxa"/>
                    </w:tcMar>
                    <w:vAlign w:val="bottom"/>
                  </w:tcPr>
                  <w:p>
                    <w:pPr>
                      <w:spacing w:after="160"/>
                    </w:pPr>
                    <w:r>
                      <w:t xml:space="preserve">7.38 %</w:t>
                    </w:r>
                  </w:p>
                </w:tc>
                <w:tc>
                  <w:tcPr>
                    <w:tcW w:w="1020" w:type="auto"/>
                    <w:tcMar>
                      <w:left w:w="108" w:type="dxa"/>
                      <w:right w:w="108" w:type="dxa"/>
                    </w:tcMar>
                    <w:vAlign w:val="bottom"/>
                  </w:tcPr>
                  <w:p>
                    <w:pPr>
                      <w:spacing w:after="160"/>
                    </w:pPr>
                    <w:r>
                      <w:t xml:space="preserve">6.53 %</w:t>
                    </w:r>
                  </w:p>
                </w:tc>
                <w:tc>
                  <w:tcPr>
                    <w:tcW w:w="1460" w:type="auto"/>
                    <w:tcMar>
                      <w:left w:w="108" w:type="dxa"/>
                      <w:right w:w="108" w:type="dxa"/>
                    </w:tcMar>
                    <w:vAlign w:val="bottom"/>
                  </w:tcPr>
                  <w:p>
                    <w:pPr>
                      <w:spacing w:after="160"/>
                    </w:pPr>
                    <w:r>
                      <w:t xml:space="preserve">7.57 %</w:t>
                    </w:r>
                  </w:p>
                </w:tc>
                <w:tc>
                  <w:tcPr>
                    <w:tcW w:w="1440" w:type="auto"/>
                    <w:tcMar>
                      <w:left w:w="108" w:type="dxa"/>
                      <w:right w:w="108" w:type="dxa"/>
                    </w:tcMar>
                    <w:vAlign w:val="bottom"/>
                  </w:tcPr>
                  <w:p>
                    <w:pPr>
                      <w:spacing w:after="160"/>
                    </w:pPr>
                    <w:r>
                      <w:t xml:space="preserve">8.83 %</w:t>
                    </w:r>
                  </w:p>
                </w:tc>
              </w:tr>
              <w:tr>
                <w:trPr>
                  <w:tblCellSpacing w:w="0" w:type="dxa"/>
                </w:trPr>
                <w:tc>
                  <w:tcPr>
                    <w:tcW w:w="3100" w:type="auto"/>
                    <w:tcMar>
                      <w:left w:w="108" w:type="dxa"/>
                      <w:right w:w="108" w:type="dxa"/>
                    </w:tcMar>
                    <w:vAlign w:val="bottom"/>
                  </w:tcPr>
                  <w:p>
                    <w:pPr>
                      <w:spacing w:after="160"/>
                    </w:pPr>
                    <w:r>
                      <w:rPr>
                        <w:b/>
                      </w:rPr>
                      <w:t xml:space="preserve">Miljø og byutvikling </w:t>
                    </w:r>
                  </w:p>
                </w:tc>
                <w:tc>
                  <w:tcPr>
                    <w:tcW w:w="1020" w:type="auto"/>
                    <w:tcMar>
                      <w:left w:w="108" w:type="dxa"/>
                      <w:right w:w="108" w:type="dxa"/>
                    </w:tcMar>
                    <w:vAlign w:val="bottom"/>
                  </w:tcPr>
                  <w:p>
                    <w:pPr>
                      <w:spacing w:after="160"/>
                    </w:pPr>
                    <w:r>
                      <w:t xml:space="preserve">5.80 %</w:t>
                    </w:r>
                  </w:p>
                </w:tc>
                <w:tc>
                  <w:tcPr>
                    <w:tcW w:w="1020" w:type="auto"/>
                    <w:tcMar>
                      <w:left w:w="108" w:type="dxa"/>
                      <w:right w:w="108" w:type="dxa"/>
                    </w:tcMar>
                    <w:vAlign w:val="bottom"/>
                  </w:tcPr>
                  <w:p>
                    <w:pPr>
                      <w:spacing w:after="160"/>
                    </w:pPr>
                    <w:r>
                      <w:t xml:space="preserve">5.80 %</w:t>
                    </w:r>
                  </w:p>
                </w:tc>
                <w:tc>
                  <w:tcPr>
                    <w:tcW w:w="1020" w:type="auto"/>
                    <w:tcMar>
                      <w:left w:w="108" w:type="dxa"/>
                      <w:right w:w="108" w:type="dxa"/>
                    </w:tcMar>
                    <w:vAlign w:val="bottom"/>
                  </w:tcPr>
                  <w:p>
                    <w:pPr>
                      <w:spacing w:after="160"/>
                    </w:pPr>
                    <w:r>
                      <w:t xml:space="preserve">5.08 %</w:t>
                    </w:r>
                  </w:p>
                </w:tc>
                <w:tc>
                  <w:tcPr>
                    <w:tcW w:w="1460" w:type="auto"/>
                    <w:tcMar>
                      <w:left w:w="108" w:type="dxa"/>
                      <w:right w:w="108" w:type="dxa"/>
                    </w:tcMar>
                    <w:vAlign w:val="bottom"/>
                  </w:tcPr>
                  <w:p>
                    <w:pPr>
                      <w:spacing w:after="160"/>
                    </w:pPr>
                    <w:r>
                      <w:t xml:space="preserve">5.54 %</w:t>
                    </w:r>
                  </w:p>
                </w:tc>
                <w:tc>
                  <w:tcPr>
                    <w:tcW w:w="1440" w:type="auto"/>
                    <w:tcMar>
                      <w:left w:w="108" w:type="dxa"/>
                      <w:right w:w="108" w:type="dxa"/>
                    </w:tcMar>
                    <w:vAlign w:val="bottom"/>
                  </w:tcPr>
                  <w:p>
                    <w:pPr>
                      <w:spacing w:after="160"/>
                    </w:pPr>
                    <w:r>
                      <w:t xml:space="preserve">4.34 %</w:t>
                    </w:r>
                  </w:p>
                </w:tc>
              </w:tr>
              <w:tr>
                <w:trPr>
                  <w:tblCellSpacing w:w="0" w:type="dxa"/>
                </w:trPr>
                <w:tc>
                  <w:tcPr>
                    <w:tcW w:w="3100" w:type="auto"/>
                    <w:tcMar>
                      <w:left w:w="108" w:type="dxa"/>
                      <w:right w:w="108" w:type="dxa"/>
                    </w:tcMar>
                    <w:vAlign w:val="top"/>
                  </w:tcPr>
                  <w:p>
                    <w:pPr>
                      <w:spacing w:after="160"/>
                    </w:pPr>
                    <w:r>
                      <w:rPr>
                        <w:b/>
                      </w:rPr>
                      <w:t xml:space="preserve">Samlet for Porsgrunn kommune </w:t>
                    </w:r>
                  </w:p>
                </w:tc>
                <w:tc>
                  <w:tcPr>
                    <w:tcW w:w="1020" w:type="auto"/>
                    <w:tcMar>
                      <w:left w:w="108" w:type="dxa"/>
                      <w:right w:w="108" w:type="dxa"/>
                    </w:tcMar>
                    <w:vAlign w:val="top"/>
                  </w:tcPr>
                  <w:p>
                    <w:pPr>
                      <w:spacing w:after="160"/>
                    </w:pPr>
                    <w:r>
                      <w:t xml:space="preserve">8.20 %</w:t>
                    </w:r>
                  </w:p>
                </w:tc>
                <w:tc>
                  <w:tcPr>
                    <w:tcW w:w="1020" w:type="auto"/>
                    <w:tcMar>
                      <w:left w:w="108" w:type="dxa"/>
                      <w:right w:w="108" w:type="dxa"/>
                    </w:tcMar>
                    <w:vAlign w:val="top"/>
                  </w:tcPr>
                  <w:p>
                    <w:pPr>
                      <w:spacing w:after="160"/>
                    </w:pPr>
                    <w:r>
                      <w:t xml:space="preserve">6.94 %</w:t>
                    </w:r>
                  </w:p>
                </w:tc>
                <w:tc>
                  <w:tcPr>
                    <w:tcW w:w="1020" w:type="auto"/>
                    <w:tcMar>
                      <w:left w:w="108" w:type="dxa"/>
                      <w:right w:w="108" w:type="dxa"/>
                    </w:tcMar>
                    <w:vAlign w:val="top"/>
                  </w:tcPr>
                  <w:p>
                    <w:pPr>
                      <w:spacing w:after="160"/>
                    </w:pPr>
                    <w:r>
                      <w:t xml:space="preserve">5.98 %</w:t>
                    </w:r>
                  </w:p>
                </w:tc>
                <w:tc>
                  <w:tcPr>
                    <w:tcW w:w="1460" w:type="auto"/>
                    <w:tcMar>
                      <w:left w:w="108" w:type="dxa"/>
                      <w:right w:w="108" w:type="dxa"/>
                    </w:tcMar>
                    <w:vAlign w:val="top"/>
                  </w:tcPr>
                  <w:p>
                    <w:pPr>
                      <w:spacing w:after="160"/>
                    </w:pPr>
                    <w:r>
                      <w:t xml:space="preserve">6.99 %</w:t>
                    </w:r>
                  </w:p>
                </w:tc>
                <w:tc>
                  <w:tcPr>
                    <w:tcW w:w="1440" w:type="auto"/>
                    <w:tcMar>
                      <w:left w:w="108" w:type="dxa"/>
                      <w:right w:w="108" w:type="dxa"/>
                    </w:tcMar>
                    <w:vAlign w:val="top"/>
                  </w:tcPr>
                  <w:p>
                    <w:pPr>
                      <w:spacing w:after="160"/>
                    </w:pPr>
                    <w:r>
                      <w:t xml:space="preserve">7.37 %</w:t>
                    </w:r>
                  </w:p>
                </w:tc>
              </w:tr>
            </w:tbl>
            <w:p>
              <w:pPr>
                <w:spacing w:after="160"/>
              </w:pPr>
              <w:r>
                <w:t xml:space="preserve"> </w:t>
              </w:r>
            </w:p>
            <w:p>
              <w:pPr>
                <w:spacing w:after="160"/>
              </w:pPr>
              <w:r>
                <w:t xml:space="preserve"> </w:t>
              </w:r>
            </w:p>
            <w:p>
              <w:pPr>
                <w:spacing w:after="160"/>
              </w:pPr>
              <w:r>
                <w:t xml:space="preserve">Sykefraværstallene fordelt på legemeldt og egenmeldt fravær for 2. kvartal 2026 i Porsgrunn kommune for rammeområdene. Egenmeldt er definert som 1-3 dager: </w:t>
              </w:r>
            </w:p>
            <w:p>
              <w:pPr>
                <w:spacing w:after="160"/>
              </w:pPr>
              <w:r>
                <w:drawing>
                  <wp:inline distT="0" distB="0" distL="0" distR="0">
                    <wp:extent cx="5715000" cy="8391525"/>
                    <wp:effectExtent l="19050" t="0" r="0" b="0"/>
                    <wp:docPr id="5"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afe21348eec14a3e"/>
                            <a:srcRect/>
                            <a:stretch>
                              <a:fillRect/>
                            </a:stretch>
                          </pic:blipFill>
                          <pic:spPr bwMode="auto">
                            <a:xfrm>
                              <a:off x="0" y="0"/>
                              <a:ext cx="5715000" cy="8391525"/>
                            </a:xfrm>
                            <a:prstGeom prst="rect">
                              <a:avLst/>
                            </a:prstGeom>
                          </pic:spPr>
                        </pic:pic>
                      </a:graphicData>
                    </a:graphic>
                  </wp:inline>
                </w:drawing>
              </w:r>
            </w:p>
            <w:p>
              <w:pPr>
                <w:spacing w:after="160"/>
              </w:pPr>
              <w:r>
                <w:drawing>
                  <wp:inline distT="0" distB="0" distL="0" distR="0">
                    <wp:extent cx="5772150" cy="3495675"/>
                    <wp:effectExtent l="19050" t="0" r="0" b="0"/>
                    <wp:docPr id="6" name="Picture 4" descr=""/>
                    <wp:cNvGraphicFramePr>
                      <a:graphicFrameLocks noChangeAspect="1"/>
                    </wp:cNvGraphicFramePr>
                    <a:graphic>
                      <a:graphicData uri="http://schemas.openxmlformats.org/drawingml/2006/picture">
                        <pic:pic>
                          <pic:nvPicPr>
                            <pic:cNvPr id="4" name="" descr=""/>
                            <pic:cNvPicPr>
                              <a:picLocks noChangeAspect="1" noChangeArrowheads="1"/>
                            </pic:cNvPicPr>
                          </pic:nvPicPr>
                          <pic:blipFill>
                            <a:blip r:embed="R9c0fb9bc3b394a86"/>
                            <a:srcRect/>
                            <a:stretch>
                              <a:fillRect/>
                            </a:stretch>
                          </pic:blipFill>
                          <pic:spPr bwMode="auto">
                            <a:xfrm>
                              <a:off x="0" y="0"/>
                              <a:ext cx="5772150" cy="3495675"/>
                            </a:xfrm>
                            <a:prstGeom prst="rect">
                              <a:avLst/>
                            </a:prstGeom>
                          </pic:spPr>
                        </pic:pic>
                      </a:graphicData>
                    </a:graphic>
                  </wp:inline>
                </w:drawing>
              </w:r>
            </w:p>
            <w:p>
              <w:pPr>
                <w:spacing w:after="160"/>
              </w:pPr>
              <w:r>
                <w:t xml:space="preserve"> </w:t>
              </w:r>
            </w:p>
            <w:p>
              <w:pPr>
                <w:spacing w:after="160"/>
              </w:pPr>
              <w:r>
                <w:rPr>
                  <w:b/>
                </w:rPr>
                <w:t xml:space="preserve">Avslutning</w:t>
              </w:r>
            </w:p>
            <w:p>
              <w:pPr>
                <w:spacing w:after="160"/>
              </w:pPr>
              <w:r>
                <w:t xml:space="preserve">Utviklingen over tid har samlet sett vært positivt, samtidig som det er variasjoner mellom enhetene. Utvalgte trender er:</w:t>
              </w:r>
            </w:p>
            <w:p>
              <w:pPr>
                <w:spacing w:after="160"/>
              </w:pPr>
              <w:r>
                <w:br/>
              </w:r>
              <w:r>
                <w:t xml:space="preserve">I hjemmetjenestene ser vi fortsatt et relativt høyt fravær, men ser en positiv trend i flere enheter i 2. kvartal. Korttidsfravær er den største driftsmessige utfordringen, fordi det er mer krevende å skaffe vikarer på kort varsel uten at det utløser bruk av overtid. Dette gjelder særlig på kvelder, netter og i helger.</w:t>
              </w:r>
            </w:p>
            <w:p>
              <w:pPr>
                <w:spacing w:after="160"/>
              </w:pPr>
              <w:r>
                <w:t xml:space="preserve">NAV Porsgrunn har hatt et høyt sykefravær i hele 2026. Sykefraværet har høy prioritet og det er tidlig dialog med de sykemeldte.</w:t>
              </w:r>
            </w:p>
            <w:p>
              <w:pPr>
                <w:spacing w:after="160"/>
              </w:pPr>
              <w:r>
                <w:t xml:space="preserve">Psykisk helse og rus har hatt en veldig god nedgang i sykefraværet i 2. kvartal 2026.</w:t>
              </w:r>
            </w:p>
            <w:p>
              <w:pPr>
                <w:spacing w:after="160"/>
              </w:pPr>
              <w:r>
                <w:rPr>
                  <w:b/>
                </w:rPr>
                <w:t xml:space="preserve">Effekten av saken </w:t>
              </w:r>
              <w:r>
                <w:br/>
              </w:r>
              <w:r>
                <w:t xml:space="preserve">&lt;I tabellen nedenfor skal du vurdere effektene av saken. Det er obligatorisk å fylle ut tabellen og legg til flere konsekvenser om nødvendig. Som innmelder av saken må du gjerne legge inn en utfyllende forklaring av tabellen. Hvis saken påvirker budsjettet, må det foreslås budsjettendringer. Lederen er ansvarlig for at det finnes dekning i budsjettet og økonomiplanen for økte kostnader eller reduksjon av inntekter. Beskrivelsen av hvordan dette løses må inkluderes.&gt;</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image" Target="/media/image.jpg" Id="R3a4980665a0c4460" /><Relationship Type="http://schemas.openxmlformats.org/officeDocument/2006/relationships/hyperlink" Target="https://www.porsgrunn.kommune.no/organisasjon/oekonomi-og-planer/oekonomirapporter-og-sykefravaer/" TargetMode="External" Id="R5a49f77cfd2d439d" /><Relationship Type="http://schemas.openxmlformats.org/officeDocument/2006/relationships/image" Target="/media/image2.jpg" Id="Rafe21348eec14a3e" /><Relationship Type="http://schemas.openxmlformats.org/officeDocument/2006/relationships/image" Target="/media/image3.jpg" Id="R9c0fb9bc3b394a8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Status sykefravær i Porsgrunn kommune, 2. kvartal 2026</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