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26/7780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Terje Madsen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18.06.2026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Eierskap - Valgkomite - prinsipiell avklaring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Vedlagte utkast til formuleringer i vedtekter og selskapsavtaler knyttet til valg av styremedlemmer og valgkomite vedtas som retningsgivende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Vedlagte veiledende retningslinjer for valgkomiteen vedtas.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Bystyret ber om å få til behandling vedtekter/selskapsavtaler for selskap hvor det er behov for å innarbeide formuleringer slik det fremgår av vedtakspunkt 1.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Bakgrunnen for at saken legges fram, kommer delvis fra revisjonens eierskapskontroll, rapport 26: 40001 404 Eierstyring - eierskapsmelding og praksis, som ble behandlet i bystyresak 17/26, hvor to av anbefalingene fra revisjonen er: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t xml:space="preserve">treffe tiltak for å sikre at selskapene etablerer retningslinjer for valgkomitéens arbeid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t xml:space="preserve">treffe tiltak for å sikre at styrevalgprosessene i GREP bedre ivaretar intensjonene i eierskapsmeldingen og KS sine anbefalinger. </w:t>
              </w:r>
            </w:p>
            <w:p>
              <w:pPr>
                <w:spacing w:after="160"/>
              </w:pPr>
              <w:r>
                <w:t xml:space="preserve">Delvis kommer saken også til behandling fordi administrasjonene i kommunene i Grenlandssamarbeidet ser at prosessen med valg av medlemmer til styrene i selskap kommunene eier sammen, kan forbedres.  Derfor legges det opp til at tilsvarende sak legges fram for de øvrige kommunene i Grenlandssamarbeidet.</w:t>
              </w:r>
            </w:p>
            <w:p>
              <w:pPr>
                <w:spacing w:after="160"/>
              </w:pPr>
              <w:r>
                <w:t xml:space="preserve">Bystyret inviteres derfor til å ta prinsipielt stilling til en justert praksis med valg av styremedlemmer i selskap Porsgrunn kommune eier, samt ta stilling til veiledende retningslinjer for valgkomiteenes arbeid.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Sentrale anbefalinger ved valg av styrmedlemmer</w:t>
              </w:r>
            </w:p>
            <w:p>
              <w:pPr>
                <w:spacing w:after="160"/>
              </w:pPr>
              <w:r>
                <w:t xml:space="preserve">Det finnes flere sentrale anbefalinger for hvordan god eierstyring skal praktiseres ved valg av styremedlemmer.</w:t>
              </w:r>
            </w:p>
            <w:p>
              <w:pPr>
                <w:spacing w:after="160"/>
              </w:pPr>
              <w:r>
                <w:t xml:space="preserve">Norsk utvalg for eierstyring og selskapsledelse - NUES omtaler valgkomite i "Den norske anbefalingen om eierstyring og selskpasledelse" i punkt 7.  Der fremgår det at valgkomite bør vedtektsfestes.  I tillegg fremkommer det en rekke anbefalinger til valgkomite, valgkomiteens arbeid og sammensetning.</w:t>
              </w:r>
            </w:p>
            <w:p>
              <w:pPr>
                <w:spacing w:after="160"/>
              </w:pPr>
              <w:r>
                <w:t xml:space="preserve">KS anbefalinger om eierskap, selskapsledelse og kontroll omtaler valgkomite i sin anbefaling nr. 10.  Der anbefales det å ta inn ordningen med valgkomite i vedtekter og selskapsavtale.  I tillegg følger her også en rekke anbefalinger til valgkomiteens sammensetning og arbeid.  Noe av det sentrale i anbefalingen fra KS hitsettes: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"Det bør være forsvarlige og gjennomtenkte prosesser rundt valg av kandidater i styrene med fokus på kompetanse og personlige egenskaper. Ansvar, rolleforståelse og habilitet er viktige tema. En valgkomité kan arbeide langsiktig og bruke god tid på å kartlegge og finne egnede styrekandidater med den rette kompetansen og bidra til at helheten ivaretas ved den endelige sammensetningen av styret.</w:t>
              </w:r>
              <w:r>
                <w:br/>
              </w:r>
              <w:r>
                <w:rPr>
                  <w:i/>
                </w:rPr>
                <w:t xml:space="preserve">Representantskapet/generalforsamlingen bør velge leder av valgkomitéen."</w:t>
              </w:r>
            </w:p>
            <w:p>
              <w:pPr>
                <w:spacing w:after="160"/>
              </w:pPr>
              <w:r>
                <w:t xml:space="preserve">Samfunnsbedriftene, tidligere KS Bedrift, som er den største arbeidsgiver- og interesseorganisasjonene for kommunale selskaper har tilsvarende anbefalinger som NUES og KS. Samfunnsbedriftenes artikler på nett "Eierstyringsskolen" anbefales.  I artikkel 7 finnes omtale av styret. </w:t>
              </w:r>
              <w:hyperlink w:history="true" r:id="Rba1eefcacc3f41d5">
                <w:r>
                  <w:rPr>
                    <w:rStyle w:val="Hyperlink"/>
                  </w:rPr>
                  <w:t xml:space="preserve">https://www.samfunnsbedriftene.no/eierstyring</w:t>
                </w:r>
              </w:hyperlink>
            </w:p>
            <w:p>
              <w:pPr>
                <w:spacing w:after="160"/>
              </w:pPr>
              <w:r>
                <w:rPr>
                  <w:b/>
                </w:rPr>
                <w:t xml:space="preserve">Revisjonens anbefalinger fra siste eierskapskontroll </w:t>
              </w:r>
            </w:p>
            <w:p>
              <w:pPr>
                <w:spacing w:after="160"/>
              </w:pPr>
              <w:r>
                <w:t xml:space="preserve">Høsten 2025 har revisjonen gjennomført en eierskapskontroll, hvor de også har vurdert styrevalg og prosesser.  Deler av revisors anmerkning knyttet til dette hitsettes: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«Greve Biogass og Grenland Brann og Redning benytter valgkomité til styrerekruttering. Styrerekrutteringen i GREP forstår vi slik at de fire eierkommunene foreslår hvert sitt styremedlem, og det synes som at valgkomiteen ikke har noen reell funksjon. Det framstår som at styrevalgprosessen i GREP i liten grad er egnet til å ivareta en samlet vurdering av styrets sammensetning, noe som kan gjøre kompetansen i styret mindre komplementær. Ordningen kan også bidra til svekket rolleforståelse, ved at styremedlemmene kan oppleve at de skal representere eier inn i styret, og ikke ivareta selskapets interesser.»</w:t>
              </w:r>
            </w:p>
            <w:p>
              <w:pPr>
                <w:spacing w:after="160"/>
              </w:pPr>
              <w:r>
                <w:t xml:space="preserve">Så kan det reflekteres over om denne kommentaren, som omhandler GREP, også kan være dekkende for flere av de selskap kommunen eier.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Porsgrunn kommunes eierskapsmelding</w:t>
              </w:r>
            </w:p>
            <w:p>
              <w:pPr>
                <w:spacing w:after="160"/>
              </w:pPr>
              <w:r>
                <w:t xml:space="preserve">PKs eierskapsmelding omtaler i eierstyringsprinsipp nr. 7 følgende: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"Det skal tilstrebes å benytte valgkomite som grunnlag for styreutnevnelser i selskapene. Styrets sammensetning skal kjennetegnes av kompetanse, kapasitet og mangfold ut fra selskapets behov, egenart og formål. Styrets arbeid skal evalueres jevnlig."</w:t>
              </w:r>
            </w:p>
            <w:p>
              <w:pPr>
                <w:spacing w:after="160"/>
              </w:pPr>
              <w:r>
                <w:t xml:space="preserve">Under omtalen av dette eierstyringsprinsippet går det fram at valgkomitéen i interkommunale selskaper i hovedsak utgjøres av representantskapet.  At hele representantskapet skal være valgkomité, er ved nærmere ettertanke trolig uhensiktsmessig.  Dette bør justeres ved neste rullering av eierskapsmeldingen.</w:t>
              </w:r>
            </w:p>
            <w:p>
              <w:pPr>
                <w:spacing w:after="160"/>
              </w:pPr>
              <w:r>
                <w:t xml:space="preserve">I aksjeselskap skal valgkomitéen velges av generalforsamlingen.</w:t>
              </w:r>
            </w:p>
            <w:p>
              <w:pPr>
                <w:spacing w:after="160"/>
              </w:pPr>
              <w:r>
                <w:t xml:space="preserve">Styret skal som kollegium ha erfaring og kompetanse innen følgende områder:</w:t>
              </w:r>
            </w:p>
            <w:p>
              <w:pPr>
                <w:pStyle w:val="ListParagraph"/>
                <w:numPr>
                  <w:ilvl w:val="0"/>
                  <w:numId w:val="3"/>
                </w:numPr>
                <w:spacing w:after="160"/>
              </w:pPr>
              <w:r>
                <w:t xml:space="preserve">Kunnskap om selskapets virksomhet, herunder formål, forretningsområder, lovgiving/forskrifter, strategi, avtaler mv.</w:t>
              </w:r>
            </w:p>
            <w:p>
              <w:pPr>
                <w:pStyle w:val="ListParagraph"/>
                <w:numPr>
                  <w:ilvl w:val="0"/>
                  <w:numId w:val="3"/>
                </w:numPr>
                <w:spacing w:after="160"/>
              </w:pPr>
              <w:r>
                <w:t xml:space="preserve">Bransjekunnskap, herunder kunnskap om trender og utviklingstrekk innenfor bransjen samt kunnskap om konkurrerende virksomheter.</w:t>
              </w:r>
            </w:p>
            <w:p>
              <w:pPr>
                <w:pStyle w:val="ListParagraph"/>
                <w:numPr>
                  <w:ilvl w:val="0"/>
                  <w:numId w:val="3"/>
                </w:numPr>
                <w:spacing w:after="160"/>
              </w:pPr>
              <w:r>
                <w:t xml:space="preserve">Spesialkompetanse og erfaring innenfor områder som jus, økonomi/finans/regnskap, risikostyring, markedsføring, HMS, tekniske fag mv.</w:t>
              </w:r>
            </w:p>
            <w:p>
              <w:pPr>
                <w:pStyle w:val="ListParagraph"/>
                <w:numPr>
                  <w:ilvl w:val="0"/>
                  <w:numId w:val="3"/>
                </w:numPr>
                <w:spacing w:after="160"/>
              </w:pPr>
              <w:r>
                <w:t xml:space="preserve">Ledelseserfaring og kompetanse knyttet til organisasjonsmessige endringsprosesser.</w:t>
              </w:r>
            </w:p>
            <w:p>
              <w:pPr>
                <w:pStyle w:val="ListParagraph"/>
                <w:numPr>
                  <w:ilvl w:val="0"/>
                  <w:numId w:val="3"/>
                </w:numPr>
                <w:spacing w:after="160"/>
              </w:pPr>
              <w:r>
                <w:t xml:space="preserve">Kompetanse og erfaring knyttet til offentlig forvaltning.</w:t>
              </w:r>
            </w:p>
            <w:p>
              <w:pPr>
                <w:pStyle w:val="ListParagraph"/>
                <w:numPr>
                  <w:ilvl w:val="0"/>
                  <w:numId w:val="3"/>
                </w:numPr>
                <w:spacing w:after="160"/>
              </w:pPr>
              <w:r>
                <w:t xml:space="preserve">Kompetanse og erfaring knyttet til styrearbeid.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Dagens praksis</w:t>
              </w:r>
            </w:p>
            <w:p>
              <w:pPr>
                <w:spacing w:after="160"/>
              </w:pPr>
              <w:r>
                <w:t xml:space="preserve">I flere selskaper hvor Porsgrunn kommune er eier/deltaker, er det ordførerne i eierkommunene som er valgt av representantskapene som valgkomité.  Dette gjelder:</w:t>
              </w:r>
            </w:p>
            <w:p>
              <w:pPr>
                <w:pStyle w:val="ListParagraph"/>
                <w:numPr>
                  <w:ilvl w:val="0"/>
                  <w:numId w:val="4"/>
                </w:numPr>
                <w:spacing w:after="160"/>
              </w:pPr>
              <w:r>
                <w:t xml:space="preserve">Renovasjon i Grenland IKS (RIG), jfr. rep.skapssak 18/23 og selskapsavtalens pkt. 8</w:t>
              </w:r>
            </w:p>
            <w:p>
              <w:pPr>
                <w:pStyle w:val="ListParagraph"/>
                <w:numPr>
                  <w:ilvl w:val="0"/>
                  <w:numId w:val="4"/>
                </w:numPr>
                <w:spacing w:after="160"/>
              </w:pPr>
              <w:r>
                <w:t xml:space="preserve">Grenland brann og redning IKS (GBR), selskapsavtalens § 3-3, samt retningslinjer for valgkomitéen.</w:t>
              </w:r>
            </w:p>
            <w:p>
              <w:pPr>
                <w:pStyle w:val="ListParagraph"/>
                <w:numPr>
                  <w:ilvl w:val="0"/>
                  <w:numId w:val="4"/>
                </w:numPr>
                <w:spacing w:after="160"/>
              </w:pPr>
              <w:r>
                <w:t xml:space="preserve">Grenland Havn IKS (GH), jfr. retningslinjer for valgkomitéen som ble vedtatt i bystyresak 49/26.</w:t>
              </w:r>
            </w:p>
            <w:p>
              <w:pPr>
                <w:pStyle w:val="ListParagraph"/>
                <w:numPr>
                  <w:ilvl w:val="0"/>
                  <w:numId w:val="4"/>
                </w:numPr>
                <w:spacing w:after="160"/>
              </w:pPr>
              <w:r>
                <w:t xml:space="preserve">GREP Grenland AS, ordførere representerer eierne og fungerer i praksis som valgkomité</w:t>
              </w:r>
            </w:p>
            <w:p>
              <w:pPr>
                <w:spacing w:after="160"/>
              </w:pPr>
              <w:r>
                <w:t xml:space="preserve">Det kan synes som om flere av representantskapene i IKSene har falt ned på en løsning med ordførerne som valgkomite de senere år.  </w:t>
              </w:r>
            </w:p>
            <w:p>
              <w:pPr>
                <w:spacing w:after="160"/>
              </w:pPr>
              <w:r>
                <w:t xml:space="preserve">Andre selskaper som Gea Norvegica IKS, Visit Telemark AS, IKA Kongsberg IKS, Sør-Øst 110 IKS har andre løsninger for valgkomité.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Utfordringer med dagens praksis</w:t>
              </w:r>
            </w:p>
            <w:p>
              <w:pPr>
                <w:spacing w:after="160"/>
              </w:pPr>
              <w:r>
                <w:t xml:space="preserve">Det er trolig en større utfordring enn nødvendig å overholde eierskapsmeldingens forventninger til komplementær kompetanse når ordførerne fungerer som valgkomité.  Ordførerne sitter ikke så tett på styrene at de har nær kompetanse om hvilke utfordringer/behov for endringer som selskapene/styrene i selskapene står overfor.  I tillegg </w:t>
              </w:r>
              <w:r>
                <w:rPr>
                  <w:u w:val="single"/>
                </w:rPr>
                <w:t xml:space="preserve">kan</w:t>
              </w:r>
              <w:r>
                <w:t xml:space="preserve"> både politiske hensyn og geografiske hensyn få for stor vekt når ordførerne er valgkomite. </w:t>
              </w:r>
            </w:p>
            <w:p>
              <w:pPr>
                <w:spacing w:after="160"/>
              </w:pPr>
              <w:r>
                <w:t xml:space="preserve">Ordførerne har i hovedsak andre oppgaver enn å være valgkomite.  Når flere selskaper ender med å velge ordførerne som valgkomite, er det grunn til å se på om dette arbeidet, faglig sett, kan løses bedre ved å organisere arbeidet med valgkomite på annen måte.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Forslag til endret praksis</w:t>
              </w:r>
            </w:p>
            <w:p>
              <w:pPr>
                <w:spacing w:after="160"/>
              </w:pPr>
              <w:r>
                <w:t xml:space="preserve">Det foreslås at ta inn bestemmelser om valgkomité i vedtekter og selskapsavtale.  Bestemmelsene som tas inn, skal utformes slik at ordførerne ikke velges som valgkomité, men at det velges en egen valgkomité for hvert AS og for hvert IKS. </w:t>
              </w:r>
            </w:p>
            <w:p>
              <w:pPr>
                <w:spacing w:after="160"/>
              </w:pPr>
              <w:r>
                <w:t xml:space="preserve">For aksjeselskaper skal valgkomiteen bestå av tre medlemmer og et varamedlem. En av valgkomiteens medlemmer skal velges blant aksjonærenes kommunedirektører.  For øvrig henvises det til vedlagte formulering som tas inn i vedtektene til aksjeselskapet. </w:t>
              </w:r>
            </w:p>
            <w:p>
              <w:pPr>
                <w:spacing w:after="160"/>
              </w:pPr>
              <w:r>
                <w:t xml:space="preserve">For interkommunale selskaper skal valgkomiteen bestå av representantskapets leder og nestleder, samt ytterligere et medlem som velges blant eiernes kommunedirektører. For øvrig henvises det til vedlagte formulering som tas inn i selskapsavtalen til selskapet.</w:t>
              </w:r>
            </w:p>
            <w:p>
              <w:pPr>
                <w:spacing w:after="160"/>
              </w:pPr>
              <w:r>
                <w:t xml:space="preserve">I tillegg foreslås det veiledende retningslinjer for valgkomiteen.  Det henvises til vedlegget.</w:t>
              </w:r>
            </w:p>
            <w:p>
              <w:pPr>
                <w:spacing w:after="160"/>
              </w:pPr>
              <w:r>
                <w:t xml:space="preserve">Både formuleringer og retningslinjer har vært til drøfting i kommunedirektør- og ordførerkollegiet i Grenlandssamarbeidet.</w:t>
              </w:r>
            </w:p>
            <w:p>
              <w:pPr>
                <w:spacing w:after="160"/>
              </w:pPr>
              <w:r>
                <w:t xml:space="preserve">Formelt er det slik at et vedtektene til et aksjeselskaps vedtas/endres av generalforsamlingen.  Retningslinjer for valgkomiteen bør også vedtas av generalforsamlingen.</w:t>
              </w:r>
            </w:p>
            <w:p>
              <w:pPr>
                <w:spacing w:after="160"/>
              </w:pPr>
              <w:r>
                <w:t xml:space="preserve">Selskapsavtalen til et interkommunalt selskap vedtas av bystyret.  IKS-lovens § 4 angir rammen for endring av selskapsavtalen.  Endring av selskapsavtalen, for å være tydeligere på valgkomiteens sammensetning og arbeid, bør gjøres av bystyret.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Kommunedirektørens vurdering</w:t>
              </w:r>
            </w:p>
            <w:p>
              <w:pPr>
                <w:spacing w:after="160"/>
              </w:pPr>
              <w:r>
                <w:t xml:space="preserve">En endret praksis ved valgkomite og valgkomiteens arbeid vil bringe valg av styremedlemmer i tråd med hva som er anerkjente anbefalinger fra KS, NUES, samfunnsbedriftene, samt dokumentere en god oppfølging fra revisjonens eierskapskontroll.</w:t>
              </w:r>
            </w:p>
            <w:p>
              <w:pPr>
                <w:spacing w:after="160"/>
              </w:pPr>
              <w:r>
                <w:t xml:space="preserve">Dersom bystyret er enige i den prinsipielle endringen denne saken legger opp til, vil det være naturlig at kommunedirektøren fremmer egne saker for de selskap hvor det er behov for å gjøre slik endring. Det vil blant annet være:</w:t>
              </w:r>
            </w:p>
            <w:p>
              <w:pPr>
                <w:pStyle w:val="ListParagraph"/>
                <w:numPr>
                  <w:ilvl w:val="0"/>
                  <w:numId w:val="5"/>
                </w:numPr>
                <w:spacing w:after="160"/>
              </w:pPr>
              <w:r>
                <w:t xml:space="preserve">GREP Grenland AS</w:t>
              </w:r>
            </w:p>
            <w:p>
              <w:pPr>
                <w:pStyle w:val="ListParagraph"/>
                <w:numPr>
                  <w:ilvl w:val="0"/>
                  <w:numId w:val="5"/>
                </w:numPr>
                <w:spacing w:after="160"/>
              </w:pPr>
              <w:r>
                <w:t xml:space="preserve">Renovasjon i Grenland IKS</w:t>
              </w:r>
            </w:p>
            <w:p>
              <w:pPr>
                <w:pStyle w:val="ListParagraph"/>
                <w:numPr>
                  <w:ilvl w:val="0"/>
                  <w:numId w:val="5"/>
                </w:numPr>
                <w:spacing w:after="160"/>
              </w:pPr>
              <w:r>
                <w:t xml:space="preserve">Grenland Havn IKS</w:t>
              </w:r>
            </w:p>
            <w:p>
              <w:pPr>
                <w:pStyle w:val="ListParagraph"/>
                <w:numPr>
                  <w:ilvl w:val="0"/>
                  <w:numId w:val="5"/>
                </w:numPr>
                <w:spacing w:after="160"/>
              </w:pPr>
              <w:r>
                <w:t xml:space="preserve">Grenland brann og redning IKS</w:t>
              </w:r>
            </w:p>
            <w:p>
              <w:pPr>
                <w:pStyle w:val="ListParagraph"/>
                <w:numPr>
                  <w:ilvl w:val="0"/>
                  <w:numId w:val="5"/>
                </w:numPr>
                <w:spacing w:after="160"/>
              </w:pPr>
              <w:r>
                <w:t xml:space="preserve">Porsgrunn Utvikling AS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Konklusjon</w:t>
              </w:r>
            </w:p>
            <w:p>
              <w:pPr>
                <w:spacing w:after="160"/>
              </w:pPr>
              <w:r>
                <w:t xml:space="preserve">Administrasjonens konklusjon fremgår av forslag til vedtak.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V1_Utkast til vedtektsbestemmelse - vedtekter AS 190626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V2_Utkast til bestemmelse selskapsavtale IKS 190626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V3_Utkast til retningslinjer for valgkomitéen 190626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V4_KS anbefalinger om eierskap selskapsledelse og kontroll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V5_PKs-Eierskapsmelding-2024-2028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V6_Selskapsavtale RIG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V7_RIG_Protokoll fra representantskapets møte 15.12.2023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V8_Selskapsavtale-GBR-fra-01.01.2025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V9_Retningslinjer-for-valgkomiteen-i-Grenland-brann-og-redning-IKS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V10_Selskapsavtale og retningslinjer for valgkomite Grenland Havn IKS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V11_Grep-grenland-as-vedtekter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V12_ Selskapsavtale Gea Norvegica IKS nov 2024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V13_Selskapsavtale for IKA Kongsberg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V14_Selskapsavtale Sør-Øst 110 IKS 2022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cf8b57bdffb349d8" /><Relationship Type="http://schemas.openxmlformats.org/officeDocument/2006/relationships/hyperlink" Target="https://www.samfunnsbedriftene.no/eierstyring" TargetMode="External" Id="Rba1eefcacc3f41d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Eierskap - Valgkomite - prinsipiell avklaring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