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25/9207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4</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06.08.2026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eierskapskontroll - «Eierstyring – eierskapsmelding og praksis"</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Formannskapet tar saken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kommer til behandling for å følge opp bystyrevedtak 17/26.  Bystyret vedtok følgende i saken:</w:t>
              </w:r>
            </w:p>
            <w:p>
              <w:pPr>
                <w:spacing w:after="160"/>
              </w:pPr>
              <w:r>
                <w:rPr>
                  <w:i/>
                </w:rPr>
                <w:t xml:space="preserve">«Bystyret tar rapporten «Eierstyring – eierskapsmelding og praksis» til orientering. Bystyret ber ordfører og administrasjonen om å:</w:t>
              </w:r>
            </w:p>
            <w:p>
              <w:pPr>
                <w:pStyle w:val="ListParagraph"/>
                <w:numPr>
                  <w:ilvl w:val="0"/>
                  <w:numId w:val="2"/>
                </w:numPr>
                <w:spacing w:after="160"/>
              </w:pPr>
              <w:r>
                <w:rPr>
                  <w:i/>
                </w:rPr>
                <w:t xml:space="preserve">sørge for at kommunens eierstyringsprinsipper sikrer god nok politisk forankring og forutsigbar kommunikasjonsform mellom selskap og eier</w:t>
              </w:r>
            </w:p>
            <w:p>
              <w:pPr>
                <w:pStyle w:val="ListParagraph"/>
                <w:numPr>
                  <w:ilvl w:val="0"/>
                  <w:numId w:val="2"/>
                </w:numPr>
                <w:spacing w:after="160"/>
              </w:pPr>
              <w:r>
                <w:rPr>
                  <w:i/>
                </w:rPr>
                <w:t xml:space="preserve">ta med krav til dokumentasjon av eiermøter inn i eierskapsmeldingen</w:t>
              </w:r>
            </w:p>
            <w:p>
              <w:pPr>
                <w:pStyle w:val="ListParagraph"/>
                <w:numPr>
                  <w:ilvl w:val="0"/>
                  <w:numId w:val="2"/>
                </w:numPr>
                <w:spacing w:after="160"/>
              </w:pPr>
              <w:r>
                <w:rPr>
                  <w:i/>
                </w:rPr>
                <w:t xml:space="preserve">treffe tiltak for å sikre at ønsket innkallingsfrist til møter i eierorganene, reguleres i selskapsavtale/vedtekter, slik at den forplikter selskapene</w:t>
              </w:r>
            </w:p>
            <w:p>
              <w:pPr>
                <w:pStyle w:val="ListParagraph"/>
                <w:numPr>
                  <w:ilvl w:val="0"/>
                  <w:numId w:val="2"/>
                </w:numPr>
                <w:spacing w:after="160"/>
              </w:pPr>
              <w:r>
                <w:rPr>
                  <w:i/>
                </w:rPr>
                <w:t xml:space="preserve">regulere kommunens valgnemnd i samsvar med kommuneloven § 5-13, og treffe tiltak for at selskapene som benytter kommunens valgnemnd viser til dette i sine styringsdokumenter</w:t>
              </w:r>
            </w:p>
            <w:p>
              <w:pPr>
                <w:pStyle w:val="ListParagraph"/>
                <w:numPr>
                  <w:ilvl w:val="0"/>
                  <w:numId w:val="2"/>
                </w:numPr>
                <w:spacing w:after="160"/>
              </w:pPr>
              <w:r>
                <w:rPr>
                  <w:i/>
                </w:rPr>
                <w:t xml:space="preserve">treffe tiltak for å sikre at selskapene etablerer retningslinjer for valgkomitéens arbeid</w:t>
              </w:r>
            </w:p>
            <w:p>
              <w:pPr>
                <w:pStyle w:val="ListParagraph"/>
                <w:numPr>
                  <w:ilvl w:val="0"/>
                  <w:numId w:val="2"/>
                </w:numPr>
                <w:spacing w:after="160"/>
              </w:pPr>
              <w:r>
                <w:rPr>
                  <w:i/>
                </w:rPr>
                <w:t xml:space="preserve">treffe tiltak for å sikre at styrevalgprosessene i GREP bedre ivaretar intensjonene i eierskapsmeldingen og KS sine anbefalinger.</w:t>
              </w:r>
            </w:p>
            <w:p>
              <w:pPr>
                <w:spacing w:after="160"/>
              </w:pPr>
              <w:r>
                <w:rPr>
                  <w:i/>
                </w:rPr>
                <w:t xml:space="preserve">Kontrollutvalget skal få en skriftlig tilbakemelding innen 31.10.26 om hvordan anbefalingene fra rapporten er fulgt opp.»</w:t>
              </w:r>
            </w:p>
            <w:p>
              <w:pPr>
                <w:spacing w:after="160"/>
              </w:pPr>
              <w:r>
                <w:t xml:space="preserve">I foreliggende sak redegjøres det for hvordan administrasjonen foreslår å følge opp de enkelte prikkpunktene/tiltakene som fremgår av vedtaket.</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Hver av de enkelte tiltakene har en forutgående forklaring som fremkommer av den tilhørende rapport fra eierskapskontroll som er vedlagt.  Under konklusjonen i rapporten fremkommer en kortfattet forklaring til de enkelte tiltakene.  I det videre kommenteres oppfølging av de enkelte tiltakene, hvor den kortfattede forklaringen inntas.</w:t>
              </w:r>
            </w:p>
            <w:p>
              <w:pPr>
                <w:pStyle w:val="ListParagraph"/>
                <w:numPr>
                  <w:ilvl w:val="0"/>
                  <w:numId w:val="3"/>
                </w:numPr>
                <w:spacing w:after="160"/>
              </w:pPr>
              <w:r>
                <w:rPr>
                  <w:i/>
                  <w:u w:val="single"/>
                </w:rPr>
                <w:t xml:space="preserve">sørge for at kommunens eierstyringsprinsipper sikrer god nok politisk forankring og forutsigbar kommunikasjonsform mellom selskap og eier</w:t>
              </w:r>
            </w:p>
            <w:p>
              <w:pPr>
                <w:spacing w:after="160"/>
              </w:pPr>
              <w:r>
                <w:t xml:space="preserve">Fra konklusjonen i rapport om eierskapskontroll hitsettes:</w:t>
              </w:r>
              <w:r>
                <w:br/>
              </w:r>
              <w:r>
                <w:rPr>
                  <w:i/>
                </w:rPr>
                <w:t xml:space="preserve">KS anbefaler at det etableres forutsigbare kommunikasjonsformer mellom kommunestyre og eierorgan, og at kommunens eierskapsmelding fastsetter hvilke spørsmål og saker de folkevalgte skal og bør befatte seg med, og hva som skal håndteres av selskapsorganene. Vi mener at kommunens eierskapsmelding kan styrkes når det gjelder etablering av forutsigbare kommunikasjonsformer mellom selskap og eier, og at den burde ha vært mer konkret på hvilke saker som skal til politisk behandling. Det fremgår heller ikke av eierskapsmeldingen at de sakene som ikke skal behandles politisk skal legges frem for politikerne som referatsaker.</w:t>
              </w:r>
            </w:p>
            <w:p>
              <w:pPr>
                <w:spacing w:after="160"/>
              </w:pPr>
              <w:r>
                <w:t xml:space="preserve">Oppfølging:</w:t>
              </w:r>
              <w:r>
                <w:br/>
              </w:r>
              <w:r>
                <w:t xml:space="preserve">Ved neste rullering av eierskapsmeldingen, som kommer til behandling i bystyret vinteren etter neste kommunevalg, dvs. vinteren 2028, vil administrasjonen følge opp tiltaket fra kontrollutvalget. Eierskapsmeldingen vil da være tydeligere på hvilke saker som skal til politisk behandling, og at saker kan legges fram som referatsaker.</w:t>
              </w:r>
            </w:p>
            <w:p>
              <w:pPr>
                <w:spacing w:after="160"/>
              </w:pPr>
              <w:r>
                <w:t xml:space="preserve">Inntil rullering av eierskapsmeldingen fortsetter vi dagens praksis med at </w:t>
              </w:r>
            </w:p>
            <w:p>
              <w:pPr>
                <w:pStyle w:val="ListParagraph"/>
                <w:numPr>
                  <w:ilvl w:val="0"/>
                  <w:numId w:val="4"/>
                </w:numPr>
                <w:spacing w:after="160"/>
              </w:pPr>
              <w:r>
                <w:t xml:space="preserve">innkallinger til møter i eierorganer (representantskapsmøter/generalforsamlinger) </w:t>
              </w:r>
            </w:p>
            <w:p>
              <w:pPr>
                <w:pStyle w:val="ListParagraph"/>
                <w:numPr>
                  <w:ilvl w:val="0"/>
                  <w:numId w:val="4"/>
                </w:numPr>
                <w:spacing w:after="160"/>
              </w:pPr>
              <w:r>
                <w:t xml:space="preserve">protokoller fra møter i eierorganer</w:t>
              </w:r>
            </w:p>
            <w:p>
              <w:pPr>
                <w:pStyle w:val="ListParagraph"/>
                <w:numPr>
                  <w:ilvl w:val="0"/>
                  <w:numId w:val="4"/>
                </w:numPr>
                <w:spacing w:after="160"/>
              </w:pPr>
              <w:r>
                <w:t xml:space="preserve">referat fra eiermøter</w:t>
              </w:r>
            </w:p>
            <w:p>
              <w:pPr>
                <w:spacing w:after="160"/>
              </w:pPr>
              <w:r>
                <w:t xml:space="preserve">legges fram som referatsaker, såfremt de ikke legges fram som politiske saker av prinsipielle eller økonomiske årsaker.  </w:t>
              </w:r>
            </w:p>
            <w:p>
              <w:pPr>
                <w:pStyle w:val="ListParagraph"/>
                <w:numPr>
                  <w:ilvl w:val="0"/>
                  <w:numId w:val="5"/>
                </w:numPr>
                <w:spacing w:after="160"/>
              </w:pPr>
              <w:r>
                <w:rPr>
                  <w:i/>
                  <w:u w:val="single"/>
                </w:rPr>
                <w:t xml:space="preserve">ta med krav til dokumentasjon av eiermøter inn i eierskapsmeldingen</w:t>
              </w:r>
            </w:p>
            <w:p>
              <w:pPr>
                <w:spacing w:after="160"/>
              </w:pPr>
              <w:r>
                <w:t xml:space="preserve">Fra konklusjonen i rapport om eierskapskontroll hitsettes:</w:t>
              </w:r>
              <w:r>
                <w:br/>
              </w:r>
              <w:r>
                <w:rPr>
                  <w:i/>
                </w:rPr>
                <w:t xml:space="preserve">KS anbefaler at det skal avholdes eiermøter. Eierskapsmeldingen omtaler dette, men kunne ha gitt mer tydelige føringer for bruken av eiermøter. Det fremgår heller ikke hvordan innholdet i møtene skal dokumenteres. Det er i tråd med god forvaltningsskikk å føre referat fra møter som disse.</w:t>
              </w:r>
            </w:p>
            <w:p>
              <w:pPr>
                <w:spacing w:after="160"/>
              </w:pPr>
              <w:r>
                <w:t xml:space="preserve">Oppfølging:</w:t>
              </w:r>
              <w:r>
                <w:br/>
              </w:r>
              <w:r>
                <w:t xml:space="preserve">Ved neste forslag til rullering av eierskapsmeldingen vil det fremgå at eiermøter skal dokumenteres med referat.  Vi vil likevel dokumentere eiermøter med referat inntil eierskapsmeldingen er rullert.</w:t>
              </w:r>
            </w:p>
            <w:p>
              <w:pPr>
                <w:pStyle w:val="ListParagraph"/>
                <w:numPr>
                  <w:ilvl w:val="0"/>
                  <w:numId w:val="6"/>
                </w:numPr>
                <w:spacing w:after="160"/>
              </w:pPr>
              <w:r>
                <w:rPr>
                  <w:i/>
                  <w:u w:val="single"/>
                </w:rPr>
                <w:t xml:space="preserve">treffe tiltak for å sikre at ønsket innkallingsfrist til møter i eierorganene, reguleres i selskapsavtale/vedtekter, slik at den forplikter selskapene</w:t>
              </w:r>
            </w:p>
            <w:p>
              <w:pPr>
                <w:spacing w:after="160"/>
              </w:pPr>
              <w:r>
                <w:t xml:space="preserve">Fra konklusjonen i rapport om eierskapskontroll hitsettes:</w:t>
              </w:r>
              <w:r>
                <w:br/>
              </w:r>
              <w:r>
                <w:rPr>
                  <w:i/>
                </w:rPr>
                <w:t xml:space="preserve">Dersom kommunen ønsker en forpliktende seks ukers innkallingsfrist til møte i eierorgan, bør dette samordnes med andre eiere og inntas i selskapenes vedtekter og selskapsavtaler.</w:t>
              </w:r>
            </w:p>
            <w:p>
              <w:pPr>
                <w:spacing w:after="160"/>
              </w:pPr>
              <w:r>
                <w:t xml:space="preserve">Oppfølging:</w:t>
              </w:r>
              <w:r>
                <w:br/>
              </w:r>
              <w:r>
                <w:t xml:space="preserve">Gjeldende eierskapsmelding legger opp til et ønske om 6 ukers innkallingsfrist.  Bakgrunnen er at det øker muligheten for at vi rekker en forutgående behandling av innkallingen i formannskapet før møtet i eierorganet skal avholdes.  Slik vil det være større mulighet for formannskapet til å gi føringer overfor kommunens eierrepresentanter i eierorganet (representantskapet og generalforsamlingen).  I tillegg fremgår det av de nylig vedtatte eierstrategiene for selskapene Porsgrunn Utvikling AS, GREP Grenland AS, Grenland Havn IKS og Grenland brann og redning IKS 6 ukers innkallingsfrist.  </w:t>
              </w:r>
            </w:p>
            <w:p>
              <w:pPr>
                <w:spacing w:after="160"/>
              </w:pPr>
              <w:r>
                <w:t xml:space="preserve">Det vedtatte tiltaket fra bystyret om sikre 6 ukers innkallingsfrist ved å ta disse inn i vedtekter og selskapsavtaler, gjør at vedtekter og selskapsavtaler må endres dersom dette ikke allerede er inntatt.</w:t>
              </w:r>
            </w:p>
            <w:p>
              <w:pPr>
                <w:spacing w:after="160"/>
              </w:pPr>
              <w:r>
                <w:t xml:space="preserve">I sak som omhandler «Eierskap - Valgkomite - prinsipiell avklaring», som trolig behandles i bystyremøtet 03.09.26, legges det opp til at bystyret skal få til behandling selskapsavtaler og vedtekter som har behov for ending i tråd med hva bystyret vedtar.  Det vil være naturlig å samordne behandling av selskapsavtaler og vedtekter knyttet til endring av valgkomite og implementering av 6 ukers frist.  Administrasjonen vil derfor legge til rette for slik samordning såfremt bystyret vedtar den prinsipielle endringen knyttet til bruk av valgkomite.</w:t>
              </w:r>
            </w:p>
            <w:p>
              <w:pPr>
                <w:pStyle w:val="ListParagraph"/>
                <w:numPr>
                  <w:ilvl w:val="0"/>
                  <w:numId w:val="7"/>
                </w:numPr>
                <w:spacing w:after="160"/>
              </w:pPr>
              <w:r>
                <w:rPr>
                  <w:i/>
                  <w:u w:val="single"/>
                </w:rPr>
                <w:t xml:space="preserve">regulere kommunens valgnemnd i samsvar med kommuneloven § 5-13, og treffe tiltak for at selskapene som benytter kommunens valgnemnd viser til dette i sine styringsdokumenter</w:t>
              </w:r>
            </w:p>
            <w:p>
              <w:pPr>
                <w:spacing w:after="160"/>
              </w:pPr>
              <w:r>
                <w:t xml:space="preserve">Fra konklusjonen i rapport om eierskapskontroll hitsettes:</w:t>
              </w:r>
              <w:r>
                <w:br/>
              </w:r>
              <w:r>
                <w:rPr>
                  <w:i/>
                </w:rPr>
                <w:t xml:space="preserve">Ifølge selskapenes vedtekter/ selskapsavtale har tre av de fire selskapene valgkomite. Porsgrunn Utvikling benytter kommunens valgnemnd til styrerekruttering. Valgnemnda sitt mandat synes ikke å være regulert i kommunens politiske reglement, slik kommuneloven krever.</w:t>
              </w:r>
            </w:p>
            <w:p>
              <w:pPr>
                <w:spacing w:after="160"/>
              </w:pPr>
              <w:r>
                <w:t xml:space="preserve">Fra gjeldende eierskapsmelding hitsettes:</w:t>
              </w:r>
              <w:r>
                <w:br/>
              </w:r>
              <w:r>
                <w:rPr>
                  <w:i/>
                </w:rPr>
                <w:t xml:space="preserve">I det følgende er «valgnemnd» betegnelse for den nemnd bystyret oppretter etter konstitueringen, mens «valgkomite» er benevnelsen for den komite som generalforsamling eller representantskap tar initiativ til.</w:t>
              </w:r>
            </w:p>
            <w:p>
              <w:pPr>
                <w:spacing w:after="160"/>
              </w:pPr>
              <w:r>
                <w:t xml:space="preserve">Oppfølging:</w:t>
              </w:r>
              <w:r>
                <w:br/>
              </w:r>
              <w:r>
                <w:t xml:space="preserve">Kommunens politiske reglement bør oppdateres med å lage mandat for valgnemda, hvor blant annet sammensetning, virkeområde og tidsperiode fremgår. Vi foreslår at dette arbeidet implementeres i den evaluering og oppdatering av «Reglement for delegering og innstilling i Porsgrunn kommune» som vil skje i forbindelse med kommunevalget om et år.</w:t>
              </w:r>
            </w:p>
            <w:p>
              <w:pPr>
                <w:pStyle w:val="ListParagraph"/>
                <w:numPr>
                  <w:ilvl w:val="0"/>
                  <w:numId w:val="8"/>
                </w:numPr>
                <w:spacing w:after="160"/>
              </w:pPr>
              <w:r>
                <w:rPr>
                  <w:i/>
                  <w:u w:val="single"/>
                </w:rPr>
                <w:t xml:space="preserve">treffe tiltak for å sikre at selskapene etablerer retningslinjer for valgkomitéens arbeid</w:t>
              </w:r>
            </w:p>
            <w:p>
              <w:pPr>
                <w:spacing w:after="160"/>
              </w:pPr>
              <w:r>
                <w:t xml:space="preserve">Fra konklusjonen i rapport om eierskapskontroll hitsettes:</w:t>
              </w:r>
              <w:r>
                <w:br/>
              </w:r>
              <w:r>
                <w:rPr>
                  <w:i/>
                </w:rPr>
                <w:t xml:space="preserve">KS anbefaler at det lages retningslinjer som regulerer valgkomitéens arbeid. Kun et av selskapene har dette.</w:t>
              </w:r>
            </w:p>
            <w:p>
              <w:pPr>
                <w:spacing w:after="160"/>
              </w:pPr>
              <w:r>
                <w:t xml:space="preserve">Oppfølging:</w:t>
              </w:r>
              <w:r>
                <w:br/>
              </w:r>
              <w:r>
                <w:t xml:space="preserve">Det er utarbeidet forslag til veiledende retningslinjer for valgkomiteenes arbeid som fremmes i egen prinsippsak for bystyret.  Saken har tittel «Eierskap - Valgkomite - prinsipiell avklaring» og antas fremmet til bystyremøtet 03.09.26.</w:t>
              </w:r>
            </w:p>
            <w:p>
              <w:pPr>
                <w:pStyle w:val="ListParagraph"/>
                <w:numPr>
                  <w:ilvl w:val="0"/>
                  <w:numId w:val="9"/>
                </w:numPr>
                <w:spacing w:after="160"/>
              </w:pPr>
              <w:r>
                <w:rPr>
                  <w:i/>
                  <w:u w:val="single"/>
                </w:rPr>
                <w:t xml:space="preserve">treffe tiltak for å sikre at styrevalgprosessene i GREP bedre ivaretar intensjonene i eierskapsmeldingen og KS sine anbefalinger.</w:t>
              </w:r>
            </w:p>
            <w:p>
              <w:pPr>
                <w:spacing w:after="160"/>
              </w:pPr>
              <w:r>
                <w:t xml:space="preserve">Fra konklusjonen i rapport om eierskapskontroll hitsettes:</w:t>
              </w:r>
              <w:r>
                <w:br/>
              </w:r>
              <w:r>
                <w:rPr>
                  <w:i/>
                </w:rPr>
                <w:t xml:space="preserve">Valgkomitéen i GREP har ikke alltid vært brukt i tråd med eierskapsmeldingen og KS sine anbefalinger. Ordningen med geografiske føringer for styremedlemmene kan gjøre kompetansen i styret mindre komplementær og bidra til svekket rolleforståelse.</w:t>
              </w:r>
            </w:p>
            <w:p>
              <w:pPr>
                <w:spacing w:after="160"/>
              </w:pPr>
              <w:r>
                <w:t xml:space="preserve">Oppfølging:</w:t>
              </w:r>
              <w:r>
                <w:br/>
              </w:r>
              <w:r>
                <w:t xml:space="preserve">Det er utarbeidet forslag til endret organisering av valgkomite, som vil bidra til at styrevalgprosessene i GREP bedre ivaretar eierskapsmeldingen og KS sine anbefalinger.  Forslaget er en del av saken som har tittel «Eierskap - Valgkomite - prinsipiell avklaring». Som nevnt antas saken fremmet til bystyremøtet 03.09.26.</w:t>
              </w:r>
            </w:p>
            <w:p>
              <w:pPr>
                <w:spacing w:after="160"/>
              </w:pPr>
              <w:r>
                <w:rPr>
                  <w:b/>
                </w:rPr>
                <w:t xml:space="preserve">Kommunedirektørens vurdering:</w:t>
              </w:r>
              <w:r>
                <w:br/>
              </w:r>
              <w:r>
                <w:t xml:space="preserve">Kommunedirektøren ønsker å orientere formannskapet om oppfølging av bystyrets vedtak i sak 17/26.  </w:t>
              </w:r>
            </w:p>
            <w:p>
              <w:pPr>
                <w:spacing w:after="160"/>
              </w:pPr>
              <w:r>
                <w:t xml:space="preserve">Det er om lag et år til neste kommunevalg.  I den forbindelse er det naturlig å rullere «Reglement for delegering og innstilling i Porsgrunn kommune».  Endringer som følger av bystyrets vedtak 17/26 er naturlig å innta i arbeidet med rulleringen av dette reglementet.  Tilsvarende innarbeiding av endringer gjelder for rulleringen av eierskapsmeldingen, som planlegges lagt fram for bystyret vinteren 2028.</w:t>
              </w:r>
            </w:p>
            <w:p>
              <w:pPr>
                <w:spacing w:after="160"/>
              </w:pPr>
              <w:r>
                <w:t xml:space="preserve">Dersom bystyrets er enig i forslag til vedtak i sak om «Eierskap - Valgkomite - prinsipiell avklaring», vil endringer knyttet til valgkomite og endringer knyttet til 6 ukers innkallingsfrist, bli arbeidet videre med høsten/vinteren 2026/-27.  Formannskap/bystyret vil da få seg fremlagt saker med forslag om endring av vedtekter og selskapsavtaler.</w:t>
              </w:r>
            </w:p>
            <w:p>
              <w:pPr>
                <w:spacing w:after="160"/>
              </w:pPr>
              <w:r>
                <w:rPr>
                  <w:b/>
                </w:rPr>
                <w:t xml:space="preserve">Konklusjon:</w:t>
              </w:r>
              <w:r>
                <w:br/>
              </w:r>
              <w:r>
                <w:t xml:space="preserve">Administrasjonens konklusjon fremkommer av forslag til vedtak.</w:t>
              </w:r>
              <w:r>
                <w:br/>
              </w:r>
              <w:r>
                <w:t xml:space="preserve">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d130626564c14a4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eierskapskontroll - «Eierstyring – eierskapsmelding og praksis"</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