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25/11919</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13</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Ebba Friis Eriksen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29.06.2026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Revidert gebyrforskrift</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1. Forslag til ny forskrift om gebyrer etter plan- og bygningsloven, eierseksjoneringsloven og matrikkellova legges ut på høring </w:t>
              </w:r>
            </w:p>
            <w:p>
              <w:pPr>
                <w:spacing w:after="160"/>
              </w:pPr>
              <w:r>
                <w:t xml:space="preserve">2. Forskrift om gebyrer etter plan- og bygningsloven, eierseksjonsloven og matrikkellova, vedtatt i Bystyret 5. februar</w:t>
              </w:r>
              <w:r>
                <w:rPr>
                  <w:b/>
                </w:rPr>
                <w:t xml:space="preserve"> </w:t>
              </w:r>
              <w:r>
                <w:t xml:space="preserve">2026</w:t>
              </w:r>
              <w:r>
                <w:rPr>
                  <w:b/>
                </w:rPr>
                <w:t xml:space="preserve"> </w:t>
              </w:r>
              <w:r>
                <w:t xml:space="preserve">oppheves ved ikrafttredelse av ny forskrift.</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Kommunedirektøren gjennomførte i forbindelse med arbeidet med gebyrsatsene for 2026 en helhetlig gjennomgang av gebyrtypene innen plan, byggesak, oppmåling og eierseksjonering. For 2027 er det behov for enkelte justeringer i gjeldende gebyrforskrift. Endringene er av en slik karakter at de må behandles som forskriftsendringer og sendes på høring.</w:t>
              </w:r>
            </w:p>
            <w:p>
              <w:pPr>
                <w:spacing w:after="160"/>
              </w:pPr>
              <w:r>
                <w:t xml:space="preserve">Gebyrforskriften vedtas i medhold av plan- og bygningsloven § 33-1. Etter forvaltningsloven § 37 skal forslag til forskrift sendes på høring før vedtak. Forskriften, som angir de ulike sakstypene det kan kreves gebyr for, danner grunnlaget for fastsettelse av gebyrsatser og det videre budsjettarbeidet.</w:t>
              </w:r>
            </w:p>
            <w:p>
              <w:pPr>
                <w:spacing w:after="160"/>
              </w:pPr>
              <w:r>
                <w:t xml:space="preserve">Når ny gebyrforskrift vedtas, oppheves gjeldende forskrift.</w:t>
              </w:r>
            </w:p>
            <w:p>
              <w:pPr>
                <w:spacing w:after="160"/>
              </w:pPr>
              <w:r>
                <w:t xml:space="preserve"> </w:t>
              </w:r>
            </w:p>
            <w:p>
              <w:pPr>
                <w:spacing w:after="160"/>
              </w:pPr>
              <w:r>
                <w:t xml:space="preserve"> </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Gebyrforskriften gir en oversikt over sakstyper innen plan, byggesak og oppmåling. Regelverket bygger på selvkostprinsippet, og en hensiktsmessig inndeling av sakstyper er nødvendig for å beregne riktige gebyrer. Kommunedirektøren foreslår derfor enkelte endringer i forskriften for å sikre et best mulig grunnlag for fastsetting av gebyrsatser.</w:t>
              </w:r>
            </w:p>
            <w:p>
              <w:pPr>
                <w:spacing w:after="160"/>
              </w:pPr>
              <w:r>
                <w:t xml:space="preserve">Forskriften inneholder ikke priser. Den beskriver strukturen for hvordan gebyrene beregnes og hvilke sakstyper som omfattes. Prisene fastsettes årlig gjennom Handlingsprogrammet og kunngjøres etter vedtak.</w:t>
              </w:r>
            </w:p>
            <w:p>
              <w:pPr>
                <w:spacing w:after="160"/>
              </w:pPr>
              <w:r>
                <w:t xml:space="preserve">Det er mange sakstyper i forskriften. Dette følger nasjonale anbefalinger og skal gi innbyggerne bedre innsyn i hva de ulike tjenestene koster. En detaljert inndeling bidrar også til å dokumentere at det ikke forekommer kryssubsidiering mellom sakstyper.</w:t>
              </w:r>
            </w:p>
            <w:p>
              <w:pPr>
                <w:spacing w:after="160"/>
              </w:pPr>
              <w:r>
                <w:t xml:space="preserve">Kommunedirektøren ser  behov for noen justeringer for å styrke beregningsgrunnlaget og gi bedre støtte til budsjettarbeidet.</w:t>
              </w:r>
            </w:p>
            <w:p>
              <w:pPr>
                <w:spacing w:after="160"/>
              </w:pPr>
              <w:r>
                <w:t xml:space="preserve">Samlet sett vil det reviderte regulativet gi en mer presis inndeling av sakstyper og et bedre grunnlag for å beregne arbeidsomfang og gebyrer.</w:t>
              </w:r>
            </w:p>
            <w:p>
              <w:pPr>
                <w:spacing w:after="160"/>
              </w:pPr>
              <w:r>
                <w:rPr>
                  <w:b/>
                  <w:u w:val="single"/>
                </w:rPr>
                <w:t xml:space="preserve">Konkret hva er endringene:</w:t>
              </w:r>
            </w:p>
            <w:p>
              <w:pPr>
                <w:spacing w:after="160"/>
              </w:pPr>
              <w:r>
                <w:t xml:space="preserve">For byggesak foreslås to endringer. Gebyrpunkt 3.5 for andre bygninger enn bolig justeres fordi dagens kategori er for bred og ikke alltid gjenspeiler kommunens ressursbruk. Endringen skal gi en mer treffsikker gebyrberegning.</w:t>
              </w:r>
            </w:p>
            <w:p>
              <w:pPr>
                <w:spacing w:after="160"/>
              </w:pPr>
              <w:r>
                <w:t xml:space="preserve">I tillegg innføres et eget gebyr for retur av søknader med vesentlige mangler. Gebyret skal kunne benyttes når nødvendig dokumentasjon ikke leveres etter dialog og veiledning fra kommunen.</w:t>
              </w:r>
            </w:p>
            <w:p>
              <w:pPr>
                <w:spacing w:after="160"/>
              </w:pPr>
              <w:r>
                <w:t xml:space="preserve">Endringene vil gi et mer forutsigbart og forholdsmessig gebyrnivå, samtidig som regulativet blir enklere å praktisere og gir bedre samsvar mellom gebyr og ressursbruk.</w:t>
              </w:r>
            </w:p>
            <w:p>
              <w:pPr>
                <w:spacing w:after="160"/>
              </w:pPr>
              <w:r>
                <w:rPr>
                  <w:b/>
                </w:rPr>
                <w:t xml:space="preserve">Effekten av saken</w:t>
              </w:r>
            </w:p>
            <w:p>
              <w:pPr>
                <w:spacing w:after="160"/>
              </w:pPr>
              <w:r>
                <w:t xml:space="preserve">Kommunedirektøren arbeider målrettet for å levere tjenester av høy kvalitet innen plan, byggesak og oppmåling. Resultatene for 2025 viser god måloppnåelse på alle områdene. Plan og geodata behandlet 100 prosent av sakene innen lovpålagte frister, mens byggesak behandlet 95 prosent innen frist. For saker med tre ukers behandlingsfrist var gjennomsnittlig saksbehandlingstid kun 12 dager. Enkle, komplette og ukompliserte saker kan ofte behandles i løpet av få dager.</w:t>
              </w:r>
            </w:p>
            <w:p>
              <w:pPr>
                <w:spacing w:after="160"/>
              </w:pPr>
              <w:r>
                <w:t xml:space="preserve">En gebyrforskrift som i størst mulig grad treffer de ulike sakstypene, gir et bedre grunnlag for å beregne ressursbruk og fastsette riktige gebyrer. Dette bidrar til mer forutsigbare rammer for både kommunen og brukerne av tjenestene, samtidig som det styrker grunnlaget for budsjettarbeidet.</w:t>
              </w:r>
            </w:p>
            <w:p>
              <w:pPr>
                <w:spacing w:after="160"/>
              </w:pPr>
              <w:r>
                <w:rPr>
                  <w:b/>
                </w:rPr>
                <w:t xml:space="preserve">Økonomiske forutsetninger</w:t>
              </w:r>
            </w:p>
            <w:p>
              <w:pPr>
                <w:spacing w:after="160"/>
              </w:pPr>
              <w:r>
                <w:t xml:space="preserve">Reguleringsplan, byggesak, oppmåling og eierseksjonering er selvkostområder. Det betyr at gebyrene skal dekke kommunens kostnader, men ikke gi overskudd. Eventuelle over- eller underskudd håndteres gjennom selvkostfond.</w:t>
              </w:r>
            </w:p>
            <w:p>
              <w:pPr>
                <w:spacing w:after="160"/>
              </w:pPr>
              <w:r>
                <w:t xml:space="preserve">Gebyrene skal som hovedregel gjenspeile kostnadene for den enkelte sakstype, og kryssubsidiering er ikke tillatt. Kommunen kan subsidiere tjenestene, men dette må finansieres gjennom frie inntekter og behandles i Handlingsprogrammet.</w:t>
              </w:r>
            </w:p>
            <w:p>
              <w:pPr>
                <w:spacing w:after="160"/>
              </w:pPr>
              <w:r>
                <w:t xml:space="preserve">De foreslåtte endringene i gebyrforskriften har derfor ingen direkte økonomiske konsekvenser.</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Vedlegg Høring ny forskrift om gebyrer etter plan- og bygningsloven</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Revidert gebyrforskrift</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