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26/4758</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Stig Roar Hansen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24.02.2026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10/26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Status tjenestetilbud og resultater kvalifiserings og integreringsenheten (KIE)</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Utvalg for inkludering, frivillighet og kultur tar saken til orientering og som en del av den regelmessige rapporteringen på inkluderings- og kvalifiseringsfeltet.</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Saken er en del av den regelmessige rapporteringen om status på inkluderings- og kvalifiseringsfeltet. Her gis det en oversikt over tjenestevolumet i Kvalifiserings- og integreringsenheten (KIE) samt kommunens resultater på de mest sentrale parameterne på området.</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 </w:t>
              </w:r>
            </w:p>
            <w:p>
              <w:pPr>
                <w:spacing w:after="160"/>
              </w:pPr>
              <w:r>
                <w:br/>
              </w:r>
              <w:r>
                <w:t xml:space="preserve">Tjenestetilbudet på KIE pr 2. mars 2026</w:t>
              </w:r>
            </w:p>
            <w:p>
              <w:pPr>
                <w:spacing w:after="160"/>
              </w:pPr>
              <w:r>
                <w:t xml:space="preserve">KIEs tjenestetilbud og forvaltning gis etter «Lov om integrering gjennom opplæring, utdanning og arbeid» (integreringsloven). KIE gir per i dag tjenester til ca 250 deltakere, hvorav 116 følges av flyktningavdelingen, og de resterende mottar undervisning fra norskavdelingen. Noen deltakere har tilknytning til begge avdelinger. I tillegg er KIE et prøvesenter for norsk, samfunnskunnskap og statsborgerprøven. Tabellen under viser ulike grupper som mottar ulike hovedtjenester fra KIE, og der KIE har en oppfølgingsrolle ovenfor introdeltakere inn i andre kvalifiseringsprogram som FOV og vgs/VOV.</w:t>
              </w:r>
            </w:p>
            <w:p>
              <w:pPr>
                <w:spacing w:after="160"/>
              </w:pPr>
              <w:r>
                <w:t xml:space="preserve"> </w:t>
              </w:r>
            </w:p>
            <w:p>
              <w:pPr>
                <w:spacing w:after="160"/>
              </w:pP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tblGrid>
              <w:tr>
                <w:trPr>
                  <w:tblCellSpacing w:w="0" w:type="dxa"/>
                </w:trPr>
                <w:tc>
                  <w:tcPr>
                    <w:tcW w:w="3200" w:type="auto"/>
                    <w:tcMar>
                      <w:left w:w="108" w:type="dxa"/>
                      <w:right w:w="108" w:type="dxa"/>
                    </w:tcMar>
                    <w:vAlign w:val="top"/>
                  </w:tcPr>
                  <w:p>
                    <w:pPr>
                      <w:spacing w:after="160"/>
                    </w:pPr>
                    <w:r>
                      <w:t xml:space="preserve">Hva</w:t>
                    </w:r>
                  </w:p>
                </w:tc>
                <w:tc>
                  <w:tcPr>
                    <w:tcW w:w="500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t xml:space="preserve">Forklaring</w:t>
                    </w:r>
                  </w:p>
                </w:tc>
                <w:tc>
                  <w:tcPr>
                    <w:tcW w:w="76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t xml:space="preserve">Antall</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Deltakere som følges opp av programrådgivere i KIE.</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Dette er nybosatte flyktninger (fra 18 år og oppover) og personer som har kommet til herboende på familieinnvandring med rett og plikt til introduksjonsprogram. Noen av disse er deltakere i introduksjonsprogrammet, noen venter på oppstart av program, andre har ikke rettigheter til program pga alder. Noen har permisjon fra program pga helse, fødsel ol.</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116</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Introduksjonsdeltakere i introduksjonsprogrammet</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Er et fulltids, individuelt tilpasset program som skal kvalifisere og forberede nyankomne innvandrere til arbeid eller utdanning i Norge. </w:t>
                    </w:r>
                    <w:r>
                      <w:br/>
                    </w:r>
                    <w:r>
                      <w:t xml:space="preserve">Alder: 18-55 år.</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76</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Deltakere i praksis</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KIE fremskaffer og følger opp deltakerne i praksis. Ved avslutning av introduksjonsprogrammet samarbeider KIE tett med NAV, og det vurderes om tiltak som trumf og lønnstilskudd skal settes inn.</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19</w:t>
                    </w:r>
                  </w:p>
                </w:tc>
              </w:tr>
              <w:tr>
                <w:trPr>
                  <w:trHeight w:val="1140" w:hRule="atLeast"/>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Antall introduksjonsdeltakere på FOV (forberedende opplæring for voksne)</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Opplæring på nivået under videregående, og erstatter det som tidligere het grunnskole for voksne. Tjenesten leveres fra Voksenopplæringen i Skien.</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39</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Introduksjonsdeltakere på VOV (videregående opplæring for voksne) og VGS (ordinær videregående skole, ungdomsrett)</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Videregående opplæring for personer som trenger studiekompetanse, yrkeskompetanse/fagbrev.</w:t>
                    </w:r>
                  </w:p>
                  <w:p>
                    <w:pPr>
                      <w:spacing w:after="160"/>
                    </w:pPr>
                    <w:r>
                      <w:t xml:space="preserve">Fylkeskommunen gir disse tjenestene.</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Introduksjonsdeltakere i norskopplæring</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KIE/norskavdelingen gir disse tjenestene</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27</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Deltakere i norskopplæringen</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Dag- og kveldstilbud.</w:t>
                    </w:r>
                    <w:r>
                      <w:br/>
                    </w:r>
                    <w:r>
                      <w:t xml:space="preserve">Personer mellom 18-67 år, får opplæring på 18 måneder eller 3 år, avhengig av om de har videregående utdanning eller ikke.</w:t>
                    </w:r>
                    <w:r>
                      <w:br/>
                    </w:r>
                    <w:r>
                      <w:t xml:space="preserve">Ukrainere har rett på ett år gratis norskopplæring.</w:t>
                    </w:r>
                    <w:r>
                      <w:br/>
                    </w:r>
                    <w:r>
                      <w:t xml:space="preserve">Noen må betale for opplæringen, bl.a. arbeidsinnvandrere med plikt. </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130</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Norskopplæring for asylsøkere</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Asyksøkere i mottak har rett på 175 timer norskopplæring og 25 timer samfunnskunnskap. </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30</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Deltakere i samfunnskunnskapsopplæring</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Deltakere med rett og/eller plikt til samfunnskunnskap skal få tilbud om et kurs på et språk de forstår i løpet av det første året de er i opplæring.</w:t>
                    </w:r>
                    <w:r>
                      <w:br/>
                    </w:r>
                    <w:r>
                      <w:t xml:space="preserve">Kurset er på 75 timer og avsluttes med en digital prøve.</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44</w:t>
                    </w:r>
                  </w:p>
                  <w:p>
                    <w:pPr>
                      <w:jc w:val="center"/>
                      <w:spacing w:after="160"/>
                    </w:pPr>
                    <w:r>
                      <w:t xml:space="preserve"> </w:t>
                    </w:r>
                  </w:p>
                </w:tc>
              </w:tr>
              <w:tr>
                <w:trPr>
                  <w:tblCellSpacing w:w="0" w:type="dxa"/>
                </w:trPr>
                <w:tc>
                  <w:tcPr>
                    <w:tcW w:w="320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Antall bosatte i 2026</w:t>
                    </w:r>
                  </w:p>
                </w:tc>
                <w:tc>
                  <w:tcPr>
                    <w:tcW w:w="50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KIE bosetter etter avtale med IMDi</w:t>
                    </w:r>
                  </w:p>
                </w:tc>
                <w:tc>
                  <w:tcPr>
                    <w:tcW w:w="7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w:t>
                    </w:r>
                  </w:p>
                </w:tc>
              </w:tr>
            </w:tbl>
            <w:p>
              <w:pPr>
                <w:spacing w:after="160"/>
              </w:pPr>
              <w:r>
                <w:br/>
              </w:r>
              <w:r>
                <w:t xml:space="preserve">KIE har deltakere som nå kommer fra ca 30 ulike land, men de største landgruppene er: Ukraina, Syria, Afghanistan, Eritrea, Tyrkia, Etiopia, Iran, Kongo, Somalia, Albania og Sudan.</w:t>
              </w:r>
              <w:r>
                <w:br/>
              </w:r>
              <w:r>
                <w:br/>
              </w:r>
              <w:r>
                <w:rPr>
                  <w:b/>
                </w:rPr>
                <w:t xml:space="preserve">Resultater</w:t>
              </w:r>
              <w:r>
                <w:br/>
              </w:r>
              <w:r>
                <w:br/>
              </w:r>
              <w:r>
                <w:t xml:space="preserve">Videre i saken skal vi se nærmere på statistikken som viser avslutningsårsaker fra introduksjonsprogrammet (kilde: Statistikk og nøkkeltall | IMDi).</w:t>
              </w:r>
              <w:r>
                <w:br/>
              </w:r>
              <w:r>
                <w:t xml:space="preserve">Alle kommuner må registrere avslutningsårsaker til introduksjonsprogrammet og dette har vært den viktigste resultatstatistikken de siste 15 årene. Gjennom denne kan vi følge utviklingen internt i egen kommune over tid samt sammenlikne med resten av Norge. </w:t>
              </w:r>
              <w:r>
                <w:br/>
              </w:r>
              <w:r>
                <w:t xml:space="preserve">Diagram 1 viser en grovsortering på andelen/antallet som ble avsluttet fra introduksjonsprogrammet til «Arbeid og utdanning» eller «Annet». </w:t>
              </w:r>
              <w:r>
                <w:br/>
              </w:r>
              <w:r>
                <w:t xml:space="preserve"> </w:t>
              </w:r>
            </w:p>
            <w:p>
              <w:pPr>
                <w:spacing w:after="160"/>
              </w:pPr>
              <w:r>
                <w:drawing>
                  <wp:inline distT="0" distB="0" distL="0" distR="0">
                    <wp:extent cx="6477000" cy="453390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348b12a29a214acb"/>
                            <a:srcRect/>
                            <a:stretch>
                              <a:fillRect/>
                            </a:stretch>
                          </pic:blipFill>
                          <pic:spPr bwMode="auto">
                            <a:xfrm>
                              <a:off x="0" y="0"/>
                              <a:ext cx="6477000" cy="4533900"/>
                            </a:xfrm>
                            <a:prstGeom prst="rect">
                              <a:avLst/>
                            </a:prstGeom>
                          </pic:spPr>
                        </pic:pic>
                      </a:graphicData>
                    </a:graphic>
                  </wp:inline>
                </w:drawing>
              </w:r>
            </w:p>
            <w:p>
              <w:pPr>
                <w:spacing w:after="160"/>
              </w:pPr>
              <w:r>
                <w:t xml:space="preserve"> </w:t>
              </w:r>
            </w:p>
            <w:p>
              <w:pPr>
                <w:spacing w:after="160"/>
              </w:pPr>
              <w:r>
                <w:t xml:space="preserve">Her ser vi at 63% (29 personer) ble avsluttet til «Arbeid og utdanning», mens 37% (17 personer) ble avsluttet til «Annet». </w:t>
              </w:r>
              <w:r>
                <w:br/>
              </w:r>
              <w:r>
                <w:t xml:space="preserve">IMDi definerer arbeid slik: «Arbeid defineres ved at en person er i et ordinært ansettelsesforhold hos arbeidsgiver og mottar ordinær lønn. Minimum én time arbeid i uken, uavhengig av om personen er i fast eller midlertidig arbeid, regnes som arbeid».</w:t>
              </w:r>
              <w:r>
                <w:br/>
              </w:r>
              <w:r>
                <w:t xml:space="preserve">Dette er på lik linje som SSB definerer arbeid, som følger anbefalingene fra den internasjonale arbeidsorganisasjonen ILO (International Labour Organization).</w:t>
              </w:r>
            </w:p>
            <w:p>
              <w:pPr>
                <w:spacing w:after="160"/>
              </w:pPr>
              <w:r>
                <w:t xml:space="preserve">Tabellen under er utarbeidet av KIE og viser avslutning til «Arbeid» 2025, med info om timetall. </w:t>
              </w:r>
              <w:r>
                <w:br/>
              </w:r>
              <w:r>
                <w:br/>
              </w:r>
              <w:r>
                <w:t xml:space="preserve"> </w:t>
              </w:r>
            </w:p>
            <w:tbl>
              <w:tblPr>
                <w:tblStyle w:val="TableGrid"/>
                <w:tblW w:w="0" w:type="auto"/>
                <w:tblLook w:firstRow="false" w:lastRow="false" w:firstColumn="false" w:lastColumn="false"/>
              </w:tblPr>
              <w:tblGrid>
                <w:gridCol/>
                <w:gridCol/>
                <w:gridCol/>
                <w:gridCol/>
              </w:tblGrid>
              <w:tr>
                <w:trPr>
                  <w:tblCellSpacing w:w="0" w:type="dxa"/>
                </w:trPr>
                <w:tc>
                  <w:tcPr>
                    <w:tcW w:w="2120" w:type="auto"/>
                    <w:tcMar>
                      <w:left w:w="108" w:type="dxa"/>
                      <w:right w:w="108" w:type="dxa"/>
                    </w:tcMar>
                    <w:vAlign w:val="top"/>
                  </w:tcPr>
                  <w:p>
                    <w:pPr>
                      <w:spacing w:after="160"/>
                    </w:pPr>
                    <w:r>
                      <w:rPr>
                        <w:b/>
                      </w:rPr>
                      <w:t xml:space="preserve">Underkategori</w:t>
                    </w:r>
                  </w:p>
                </w:tc>
                <w:tc>
                  <w:tcPr>
                    <w:tcW w:w="22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Prosentandel av de som er avsluttet til arbeid</w:t>
                    </w:r>
                  </w:p>
                </w:tc>
                <w:tc>
                  <w:tcPr>
                    <w:tcW w:w="212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Gjennomsnitt timer i lønnet arbeid per uke</w:t>
                    </w:r>
                  </w:p>
                </w:tc>
                <w:tc>
                  <w:tcPr>
                    <w:tcW w:w="2120" w:type="auto"/>
                    <w:tcBorders>
                      <w:top w:val="single" w:color="000000" w:sz="0"/>
                      <w:left w:val="none" w:color="000000" w:sz="0"/>
                      <w:bottom w:val="single" w:color="000000" w:sz="0"/>
                      <w:right w:val="single" w:color="000000" w:sz="0"/>
                    </w:tcBorders>
                    <w:tcMar/>
                    <w:vAlign w:val="top"/>
                  </w:tcPr>
                  <w:p>
                    <w:pPr>
                      <w:spacing w:after="160"/>
                    </w:pPr>
                    <w:r>
                      <w:rPr>
                        <w:b/>
                      </w:rPr>
                      <w:t xml:space="preserve">Lavest timeantall per uke</w:t>
                    </w:r>
                  </w:p>
                </w:tc>
              </w:tr>
              <w:tr>
                <w:trPr>
                  <w:trHeight w:val="246" w:hRule="atLeast"/>
                </w:trPr>
                <w:tc>
                  <w:tcPr>
                    <w:tcW w:w="2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Arbeid</w:t>
                    </w:r>
                  </w:p>
                </w:tc>
                <w:tc>
                  <w:tcPr>
                    <w:tcW w:w="22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52%</w:t>
                    </w:r>
                  </w:p>
                </w:tc>
                <w:tc>
                  <w:tcPr>
                    <w:tcW w:w="21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34,7 t/u</w:t>
                    </w:r>
                  </w:p>
                </w:tc>
                <w:tc>
                  <w:tcPr>
                    <w:tcW w:w="2120" w:type="auto"/>
                    <w:tcBorders>
                      <w:top w:val="none" w:color="000000" w:sz="0"/>
                      <w:left w:val="none" w:color="000000" w:sz="0"/>
                      <w:bottom w:val="single" w:color="000000" w:sz="4"/>
                      <w:right w:val="single" w:color="000000" w:sz="4"/>
                    </w:tcBorders>
                    <w:tcMar/>
                    <w:vAlign w:val="top"/>
                  </w:tcPr>
                  <w:p>
                    <w:pPr>
                      <w:spacing w:after="160"/>
                    </w:pPr>
                    <w:r>
                      <w:t xml:space="preserve">20 t/u</w:t>
                    </w:r>
                  </w:p>
                </w:tc>
              </w:tr>
              <w:tr>
                <w:trPr>
                  <w:tblCellSpacing w:w="0" w:type="dxa"/>
                </w:trPr>
                <w:tc>
                  <w:tcPr>
                    <w:tcW w:w="2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Arbeid med lønnstilskudd (inkludert Trumf):</w:t>
                    </w:r>
                  </w:p>
                </w:tc>
                <w:tc>
                  <w:tcPr>
                    <w:tcW w:w="22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w:t>
                    </w:r>
                  </w:p>
                </w:tc>
                <w:tc>
                  <w:tcPr>
                    <w:tcW w:w="21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35,6 t/u</w:t>
                    </w:r>
                  </w:p>
                </w:tc>
                <w:tc>
                  <w:tcPr>
                    <w:tcW w:w="2120" w:type="auto"/>
                    <w:tcBorders>
                      <w:top w:val="none" w:color="000000" w:sz="0"/>
                      <w:left w:val="none" w:color="000000" w:sz="0"/>
                      <w:bottom w:val="single" w:color="000000" w:sz="4"/>
                      <w:right w:val="single" w:color="000000" w:sz="4"/>
                    </w:tcBorders>
                    <w:tcMar/>
                    <w:vAlign w:val="top"/>
                  </w:tcPr>
                  <w:p>
                    <w:pPr>
                      <w:spacing w:after="160"/>
                    </w:pPr>
                    <w:r>
                      <w:t xml:space="preserve">30 t/u</w:t>
                    </w:r>
                  </w:p>
                </w:tc>
              </w:tr>
              <w:tr>
                <w:trPr>
                  <w:tblCellSpacing w:w="0" w:type="dxa"/>
                </w:trPr>
                <w:tc>
                  <w:tcPr>
                    <w:tcW w:w="2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Arbeid og grunnskole</w:t>
                    </w:r>
                  </w:p>
                </w:tc>
                <w:tc>
                  <w:tcPr>
                    <w:tcW w:w="22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w:t>
                    </w:r>
                  </w:p>
                </w:tc>
                <w:tc>
                  <w:tcPr>
                    <w:tcW w:w="21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30 t/u</w:t>
                    </w:r>
                  </w:p>
                </w:tc>
                <w:tc>
                  <w:tcPr>
                    <w:tcW w:w="2120" w:type="auto"/>
                    <w:tcBorders>
                      <w:top w:val="none" w:color="000000" w:sz="0"/>
                      <w:left w:val="none" w:color="000000" w:sz="0"/>
                      <w:bottom w:val="single" w:color="000000" w:sz="4"/>
                      <w:right w:val="single" w:color="000000" w:sz="4"/>
                    </w:tcBorders>
                    <w:tcMar/>
                    <w:vAlign w:val="top"/>
                  </w:tcPr>
                  <w:p>
                    <w:pPr>
                      <w:spacing w:after="160"/>
                    </w:pPr>
                    <w:r>
                      <w:t xml:space="preserve">30 t/u</w:t>
                    </w:r>
                  </w:p>
                </w:tc>
              </w:tr>
              <w:tr>
                <w:trPr>
                  <w:tblCellSpacing w:w="0" w:type="dxa"/>
                </w:trPr>
                <w:tc>
                  <w:tcPr>
                    <w:tcW w:w="21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Arbeid og videregående</w:t>
                    </w:r>
                  </w:p>
                </w:tc>
                <w:tc>
                  <w:tcPr>
                    <w:tcW w:w="22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26 %</w:t>
                    </w:r>
                  </w:p>
                </w:tc>
                <w:tc>
                  <w:tcPr>
                    <w:tcW w:w="21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16,8 t/u</w:t>
                    </w:r>
                  </w:p>
                </w:tc>
                <w:tc>
                  <w:tcPr>
                    <w:tcW w:w="2120" w:type="auto"/>
                    <w:tcBorders>
                      <w:top w:val="none" w:color="000000" w:sz="0"/>
                      <w:left w:val="none" w:color="000000" w:sz="0"/>
                      <w:bottom w:val="single" w:color="000000" w:sz="4"/>
                      <w:right w:val="single" w:color="000000" w:sz="4"/>
                    </w:tcBorders>
                    <w:tcMar/>
                    <w:vAlign w:val="top"/>
                  </w:tcPr>
                  <w:p>
                    <w:pPr>
                      <w:spacing w:after="160"/>
                    </w:pPr>
                    <w:r>
                      <w:t xml:space="preserve">5 t/u</w:t>
                    </w:r>
                  </w:p>
                </w:tc>
              </w:tr>
            </w:tbl>
            <w:p>
              <w:pPr>
                <w:spacing w:after="160"/>
              </w:pPr>
              <w:r>
                <w:br/>
              </w:r>
              <w:r>
                <w:t xml:space="preserve">Denne tabellen er basert på timeantall ved avslutning som er registrert/rapportert av KIE/flyktningavdelingen ved avslutning av deltaker i introduksjonsprogrammet.</w:t>
              </w:r>
              <w:r>
                <w:br/>
              </w:r>
              <w:r>
                <w:t xml:space="preserve">Innunder hovedkategorien arbeid skal kommunen rapportere de som «kun» er i arbeid, men også de som både tar utdanning samtidig som de er i arbeid. Det skal da komme frem hva slags type utdanning som kombineres med arbeid. Det skal i tillegg rapporteres dersom det er snakk om arbeid med lønnstilskudd.</w:t>
              </w:r>
            </w:p>
            <w:p>
              <w:pPr>
                <w:spacing w:after="160"/>
              </w:pPr>
              <w:r>
                <w:t xml:space="preserve"> </w:t>
              </w:r>
            </w:p>
            <w:p>
              <w:pPr>
                <w:spacing w:after="160"/>
              </w:pPr>
              <w:r>
                <w:br/>
              </w:r>
              <w:r>
                <w:rPr>
                  <w:b/>
                </w:rPr>
                <w:t xml:space="preserve">Resultater over tid</w:t>
              </w:r>
            </w:p>
            <w:p>
              <w:pPr>
                <w:spacing w:after="160"/>
              </w:pPr>
              <w:r>
                <w:t xml:space="preserve">Diagram 2 viser andel av deltakerne som har avsluttet introduksjonsprogrammet med årsak til avslutning/avbrytning av introduksjonsprogrammet avgrenset til Arbeid eller utdanning utover grunnskole i perioden 2010 til 2024 i Skien og Norge. Her ser vi våre egne resultater fra 2010 til og med 2025, sammenlignet med landsgjennomsnittet. I en sammenligning med landet (framfor enkeltkommuner) blir faktorene deltakeren og arbeidsmarkedet i større grad nøytralisert, ettersom disse forholdene i hovedsak påvirkes både Skien og landet som helhet på lignende måte. Dermed kan vi legge større vekt på faktoren offentlige tjenester som KIE og Nav når vi vurderer om Skien har hatt en positiv eller negativ utvikling sammenlignet med landet for øvrig.</w:t>
              </w:r>
              <w:r>
                <w:br/>
              </w:r>
              <w:r>
                <w:t xml:space="preserve">Det er likevel viktig å understreke at mange ulike forhold påvirker avslutningsårsakene. Statistikken fungerer derfor som en indikator, ikke en fasit.</w:t>
              </w:r>
            </w:p>
            <w:p>
              <w:pPr>
                <w:spacing w:after="160"/>
              </w:pPr>
              <w:r>
                <w:t xml:space="preserve"> </w:t>
              </w:r>
            </w:p>
            <w:p>
              <w:pPr>
                <w:spacing w:after="160"/>
              </w:pPr>
              <w:r>
                <w:drawing>
                  <wp:inline distT="0" distB="0" distL="0" distR="0">
                    <wp:extent cx="5924550" cy="3352800"/>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3c9249530fd44c94"/>
                            <a:srcRect/>
                            <a:stretch>
                              <a:fillRect/>
                            </a:stretch>
                          </pic:blipFill>
                          <pic:spPr bwMode="auto">
                            <a:xfrm>
                              <a:off x="0" y="0"/>
                              <a:ext cx="5924550" cy="3352800"/>
                            </a:xfrm>
                            <a:prstGeom prst="rect">
                              <a:avLst/>
                            </a:prstGeom>
                          </pic:spPr>
                        </pic:pic>
                      </a:graphicData>
                    </a:graphic>
                  </wp:inline>
                </w:drawing>
              </w:r>
            </w:p>
            <w:p>
              <w:pPr>
                <w:spacing w:after="160"/>
              </w:pPr>
              <w:r>
                <w:t xml:space="preserve"> </w:t>
              </w:r>
            </w:p>
            <w:p>
              <w:pPr>
                <w:spacing w:after="160"/>
              </w:pPr>
              <w:r>
                <w:t xml:space="preserve"> </w:t>
              </w:r>
            </w:p>
            <w:p>
              <w:pPr>
                <w:spacing w:after="160"/>
              </w:pPr>
              <w:r>
                <w:t xml:space="preserve">Vi ser at i tiårsperioden 2010–2020 lå vi over landsgjennomsnittet kun én gang. I flere av årene, særlig mellom 2012 og 2019, lå resultatene våre tydelig under landets nivå. Samtidig viser tallene at Skien hadde en god utvikling fra 2014 til 2020, med en jevn og stabil stigning.</w:t>
              </w:r>
            </w:p>
            <w:p>
              <w:pPr>
                <w:spacing w:after="160"/>
              </w:pPr>
              <w:r>
                <w:t xml:space="preserve">De siste årene har vi klart å holde oss rundt landsgjennomsnittet, og i fire av de seks siste årene har resultatene våre vært bedre enn landets. År 2025 ble et rekordår med 63 %, noe som styrker inntrykket av at kommunen nå har stabilisert seg minst på nasjonalt nivå – og at vi fortsatt har et godt momentum i integreringsarbeidet.</w:t>
              </w:r>
            </w:p>
            <w:p>
              <w:pPr>
                <w:spacing w:after="160"/>
              </w:pPr>
              <w:r>
                <w:t xml:space="preserve"> </w:t>
              </w:r>
            </w:p>
            <w:p>
              <w:pPr>
                <w:spacing w:after="160"/>
              </w:pPr>
              <w:r>
                <w:t xml:space="preserve">Diagrammet under viser andel personer fordelt etter avslutningsår for introduksjonsprogrammet og arbeidssituasjon etter avsluttet/avbrutt introduksjonsprogram i 2023 i Skien.</w:t>
              </w:r>
            </w:p>
            <w:p>
              <w:pPr>
                <w:spacing w:after="160"/>
              </w:pPr>
              <w:r>
                <w:t xml:space="preserve"> </w:t>
              </w:r>
            </w:p>
            <w:p>
              <w:pPr>
                <w:spacing w:after="160"/>
              </w:pPr>
              <w:r>
                <w:drawing>
                  <wp:inline distT="0" distB="0" distL="0" distR="0">
                    <wp:extent cx="6029325" cy="3619500"/>
                    <wp:effectExtent l="19050" t="0" r="0" b="0"/>
                    <wp:docPr id="4"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856cd34ab4554be5"/>
                            <a:srcRect/>
                            <a:stretch>
                              <a:fillRect/>
                            </a:stretch>
                          </pic:blipFill>
                          <pic:spPr bwMode="auto">
                            <a:xfrm>
                              <a:off x="0" y="0"/>
                              <a:ext cx="6029325" cy="3619500"/>
                            </a:xfrm>
                            <a:prstGeom prst="rect">
                              <a:avLst/>
                            </a:prstGeom>
                          </pic:spPr>
                        </pic:pic>
                      </a:graphicData>
                    </a:graphic>
                  </wp:inline>
                </w:drawing>
              </w:r>
            </w:p>
            <w:p>
              <w:pPr>
                <w:spacing w:after="160"/>
              </w:pPr>
              <w:r>
                <w:t xml:space="preserve">Her kan vi se hvordan det går med introdeltakerne over tid, fra ett til fem år etter at de avsluttet introduksjonsprogrammet. Med unntak av det første året viser søylene at jo lengre botid deltakerne har, desto flere er i arbeid eller utdanning. Dette samsvarer godt med forskningen på området.</w:t>
              </w:r>
            </w:p>
            <w:p>
              <w:pPr>
                <w:spacing w:after="160"/>
              </w:pPr>
              <w:r>
                <w:t xml:space="preserve">Derfor er det viktig med god tverrfaglig samhandling både i løpet av introduksjonsprogrammet, og ikke minst i overgangen til andre tjenesteleverandører som NAV, voksenopplæringen og fylkeskommunen.</w:t>
              </w:r>
            </w:p>
            <w:p>
              <w:pPr>
                <w:spacing w:after="160"/>
              </w:pPr>
              <w:r>
                <w:t xml:space="preserve"> </w:t>
              </w:r>
            </w:p>
            <w:p>
              <w:pPr>
                <w:spacing w:after="160"/>
              </w:pPr>
              <w:r>
                <w:rPr>
                  <w:b/>
                </w:rPr>
                <w:t xml:space="preserve">Kommunedirektørens vurdering og konklusjon</w:t>
              </w:r>
              <w:r>
                <w:br/>
              </w:r>
              <w:r>
                <w:br/>
              </w:r>
              <w:r>
                <w:t xml:space="preserve">Integrerings- og kvalifiseringsarbeidet i Skien kommune er både omfattende og komplekst, og omfatter utfordringer på både individ- og systemnivå. Arbeidet er samtidig av stor betydning, både fordi kommunen og samfunnet har behov for arbeidskraften, og fordi konsekvensene av utenforskap er store, både for den enkelte og for fellesskapet.</w:t>
              </w:r>
            </w:p>
            <w:p>
              <w:pPr>
                <w:spacing w:after="160"/>
              </w:pPr>
              <w:r>
                <w:t xml:space="preserve">De siste årene har tjenesteområdet vært preget av betydelige rammeendringer, og nasjonale myndigheter vurderer fortløpende nye tiltak som påvirker lokalt integreringsarbeid. Statistikken over tid viser at Skien kommune leverer gode resultater, og at utviklingen de siste årene har vært positiv og stabil. Resultatene for 2025 understøtter dette bildet.</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348b12a29a214acb" /><Relationship Type="http://schemas.openxmlformats.org/officeDocument/2006/relationships/image" Target="/media/image2.jpg" Id="R3c9249530fd44c94" /><Relationship Type="http://schemas.openxmlformats.org/officeDocument/2006/relationships/image" Target="/media/image3.jpg" Id="R856cd34ab4554b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Status tjenestetilbud og resultater kvalifiserings og integreringsenheten (KIE)</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